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B59E0" w14:textId="2A7BA79D" w:rsidR="00FE578C" w:rsidRDefault="00FE578C" w:rsidP="00FE578C">
      <w:pPr>
        <w:jc w:val="right"/>
        <w:rPr>
          <w:rFonts w:ascii="PT Sans" w:hAnsi="PT Sans" w:cs="Arial"/>
          <w:b/>
          <w:sz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5C74D8B" wp14:editId="41828535">
            <wp:extent cx="1263062" cy="58141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033" cy="5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A31C" w14:textId="77777777" w:rsidR="00FE578C" w:rsidRDefault="00FE578C" w:rsidP="00FE578C">
      <w:pPr>
        <w:jc w:val="right"/>
        <w:rPr>
          <w:rFonts w:ascii="PT Sans" w:hAnsi="PT Sans" w:cs="Arial"/>
          <w:b/>
          <w:sz w:val="24"/>
          <w:shd w:val="clear" w:color="auto" w:fill="FFFFFF"/>
        </w:rPr>
      </w:pPr>
    </w:p>
    <w:p w14:paraId="2FEA5858" w14:textId="3437D852" w:rsidR="00FE578C" w:rsidRDefault="00FE578C" w:rsidP="00FE578C">
      <w:pPr>
        <w:spacing w:after="0" w:line="240" w:lineRule="auto"/>
        <w:rPr>
          <w:rFonts w:ascii="PT Sans" w:hAnsi="PT Sans" w:cs="Arial"/>
          <w:b/>
          <w:sz w:val="24"/>
          <w:shd w:val="clear" w:color="auto" w:fill="FFFFFF"/>
        </w:rPr>
      </w:pPr>
      <w:r>
        <w:rPr>
          <w:rFonts w:ascii="PT Sans" w:hAnsi="PT Sans" w:cs="Arial"/>
          <w:b/>
          <w:sz w:val="24"/>
          <w:shd w:val="clear" w:color="auto" w:fill="FFFFFF"/>
        </w:rPr>
        <w:t>Пресс-релиз</w:t>
      </w:r>
    </w:p>
    <w:p w14:paraId="5D729D46" w14:textId="6DB3A2CB" w:rsidR="00FE578C" w:rsidRDefault="00FE578C" w:rsidP="00FE578C">
      <w:pPr>
        <w:spacing w:after="0" w:line="240" w:lineRule="auto"/>
        <w:rPr>
          <w:rFonts w:ascii="PT Sans" w:hAnsi="PT Sans" w:cs="Arial"/>
          <w:b/>
          <w:sz w:val="24"/>
          <w:shd w:val="clear" w:color="auto" w:fill="FFFFFF"/>
        </w:rPr>
      </w:pPr>
      <w:r>
        <w:rPr>
          <w:rFonts w:ascii="PT Sans" w:hAnsi="PT Sans" w:cs="Arial"/>
          <w:b/>
          <w:sz w:val="24"/>
          <w:shd w:val="clear" w:color="auto" w:fill="FFFFFF"/>
        </w:rPr>
        <w:t>08.12.2025</w:t>
      </w:r>
    </w:p>
    <w:p w14:paraId="5813488F" w14:textId="77777777" w:rsidR="00FE578C" w:rsidRPr="00FE578C" w:rsidRDefault="00FE578C" w:rsidP="00FE578C">
      <w:pPr>
        <w:rPr>
          <w:rFonts w:ascii="PT Sans" w:hAnsi="PT Sans" w:cs="Arial"/>
          <w:b/>
          <w:sz w:val="14"/>
          <w:shd w:val="clear" w:color="auto" w:fill="FFFFFF"/>
        </w:rPr>
      </w:pPr>
    </w:p>
    <w:p w14:paraId="52352164" w14:textId="31279F34" w:rsidR="00CA69B5" w:rsidRPr="00867CC1" w:rsidRDefault="00CA69B5" w:rsidP="00FE578C">
      <w:pPr>
        <w:rPr>
          <w:rFonts w:ascii="PT Sans" w:hAnsi="PT Sans" w:cs="Arial"/>
          <w:b/>
          <w:sz w:val="24"/>
          <w:shd w:val="clear" w:color="auto" w:fill="FFFFFF"/>
        </w:rPr>
      </w:pPr>
      <w:r w:rsidRPr="00867CC1">
        <w:rPr>
          <w:rFonts w:ascii="PT Sans" w:hAnsi="PT Sans" w:cs="Arial"/>
          <w:b/>
          <w:sz w:val="24"/>
          <w:shd w:val="clear" w:color="auto" w:fill="FFFFFF"/>
        </w:rPr>
        <w:t>Ключевые факты повестки устойчивого развития АЦБК</w:t>
      </w:r>
      <w:r w:rsidR="00E61C6B">
        <w:rPr>
          <w:rFonts w:ascii="PT Sans" w:hAnsi="PT Sans" w:cs="Arial"/>
          <w:b/>
          <w:sz w:val="24"/>
          <w:shd w:val="clear" w:color="auto" w:fill="FFFFFF"/>
        </w:rPr>
        <w:t xml:space="preserve"> за 2024 год</w:t>
      </w:r>
    </w:p>
    <w:p w14:paraId="5B4EC887" w14:textId="77777777" w:rsidR="00B35C25" w:rsidRPr="00867CC1" w:rsidRDefault="00B35C25" w:rsidP="004E1824">
      <w:pPr>
        <w:pStyle w:val="a3"/>
        <w:jc w:val="both"/>
        <w:rPr>
          <w:rFonts w:ascii="PT Sans" w:eastAsiaTheme="minorHAnsi" w:hAnsi="PT Sans"/>
          <w:color w:val="auto"/>
          <w:sz w:val="22"/>
        </w:rPr>
      </w:pPr>
      <w:r w:rsidRPr="00867CC1">
        <w:rPr>
          <w:rFonts w:ascii="PT Sans" w:hAnsi="PT Sans"/>
          <w:color w:val="auto"/>
          <w:sz w:val="22"/>
        </w:rPr>
        <w:t>В мировых экологических рейтингах целлюлозно-бумажная промышленност</w:t>
      </w:r>
      <w:r w:rsidR="004E1824" w:rsidRPr="00867CC1">
        <w:rPr>
          <w:rFonts w:ascii="PT Sans" w:hAnsi="PT Sans"/>
          <w:color w:val="auto"/>
          <w:sz w:val="22"/>
        </w:rPr>
        <w:t>ь (ЦБП)</w:t>
      </w:r>
      <w:r w:rsidRPr="00867CC1">
        <w:rPr>
          <w:rFonts w:ascii="PT Sans" w:hAnsi="PT Sans"/>
          <w:color w:val="auto"/>
          <w:sz w:val="22"/>
        </w:rPr>
        <w:t xml:space="preserve"> традиционно относится к отраслям со средне-высоким воздействием на окружающую среду. И хотя уровень воздействия </w:t>
      </w:r>
      <w:r w:rsidR="005B7F99" w:rsidRPr="00867CC1">
        <w:rPr>
          <w:rFonts w:ascii="PT Sans" w:hAnsi="PT Sans"/>
          <w:color w:val="auto"/>
          <w:sz w:val="22"/>
        </w:rPr>
        <w:t xml:space="preserve">ЦБП </w:t>
      </w:r>
      <w:r w:rsidRPr="00867CC1">
        <w:rPr>
          <w:rFonts w:ascii="PT Sans" w:hAnsi="PT Sans"/>
          <w:color w:val="auto"/>
          <w:sz w:val="22"/>
        </w:rPr>
        <w:t xml:space="preserve">значительно ниже энергетики, металлургии или сельского хозяйства, </w:t>
      </w:r>
      <w:r w:rsidR="005B7F99" w:rsidRPr="00867CC1">
        <w:rPr>
          <w:rFonts w:ascii="PT Sans" w:hAnsi="PT Sans"/>
          <w:color w:val="auto"/>
          <w:sz w:val="22"/>
        </w:rPr>
        <w:t xml:space="preserve">отрасль </w:t>
      </w:r>
      <w:r w:rsidRPr="00867CC1">
        <w:rPr>
          <w:rFonts w:ascii="PT Sans" w:hAnsi="PT Sans"/>
          <w:color w:val="auto"/>
          <w:sz w:val="22"/>
        </w:rPr>
        <w:t>всё же находится в зоне пристального внимания экспертов.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4406"/>
        <w:gridCol w:w="3969"/>
      </w:tblGrid>
      <w:tr w:rsidR="00B35C25" w:rsidRPr="00867CC1" w14:paraId="38506B5A" w14:textId="77777777" w:rsidTr="00FE578C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FBCA7" w14:textId="77777777" w:rsidR="00A42314" w:rsidRPr="00867CC1" w:rsidRDefault="007E2FC7" w:rsidP="00F643D9">
            <w:pPr>
              <w:jc w:val="center"/>
              <w:rPr>
                <w:rFonts w:ascii="PT Sans" w:hAnsi="PT Sans" w:cs="Arial"/>
                <w:b/>
                <w:shd w:val="clear" w:color="auto" w:fill="FFFFFF"/>
              </w:rPr>
            </w:pPr>
            <w:r w:rsidRPr="00867CC1">
              <w:rPr>
                <w:rFonts w:ascii="PT Sans" w:hAnsi="PT Sans" w:cs="Arial"/>
                <w:sz w:val="20"/>
                <w:shd w:val="clear" w:color="auto" w:fill="FFFFFF"/>
              </w:rPr>
              <w:t xml:space="preserve"> </w:t>
            </w:r>
            <w:r w:rsidR="00A42314" w:rsidRPr="00867CC1">
              <w:rPr>
                <w:rFonts w:ascii="PT Sans" w:hAnsi="PT Sans" w:cs="Arial"/>
                <w:b/>
                <w:shd w:val="clear" w:color="auto" w:fill="FFFFFF"/>
              </w:rPr>
              <w:t>Позиция</w:t>
            </w:r>
          </w:p>
        </w:tc>
        <w:tc>
          <w:tcPr>
            <w:tcW w:w="4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55C29" w14:textId="77777777" w:rsidR="00A42314" w:rsidRPr="00867CC1" w:rsidRDefault="00AC7901" w:rsidP="00F643D9">
            <w:pPr>
              <w:jc w:val="center"/>
              <w:rPr>
                <w:rFonts w:ascii="PT Sans" w:hAnsi="PT Sans" w:cs="Arial"/>
                <w:b/>
                <w:shd w:val="clear" w:color="auto" w:fill="FFFFFF"/>
              </w:rPr>
            </w:pPr>
            <w:r w:rsidRPr="00867CC1">
              <w:rPr>
                <w:rFonts w:ascii="PT Sans" w:hAnsi="PT Sans" w:cs="Arial"/>
                <w:b/>
                <w:shd w:val="clear" w:color="auto" w:fill="FFFFFF"/>
              </w:rPr>
              <w:t>Отрасль</w:t>
            </w:r>
          </w:p>
        </w:tc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D76B8" w14:textId="77777777" w:rsidR="00AC7901" w:rsidRPr="00867CC1" w:rsidRDefault="00AC7901" w:rsidP="00FE578C">
            <w:pPr>
              <w:ind w:hanging="134"/>
              <w:jc w:val="center"/>
              <w:rPr>
                <w:rFonts w:ascii="PT Sans" w:hAnsi="PT Sans" w:cs="Arial"/>
                <w:b/>
                <w:shd w:val="clear" w:color="auto" w:fill="FFFFFF"/>
              </w:rPr>
            </w:pPr>
            <w:r w:rsidRPr="00867CC1">
              <w:rPr>
                <w:rFonts w:ascii="PT Sans" w:hAnsi="PT Sans" w:cs="Arial"/>
                <w:b/>
                <w:shd w:val="clear" w:color="auto" w:fill="FFFFFF"/>
              </w:rPr>
              <w:t>Воздействие</w:t>
            </w:r>
            <w:r w:rsidR="004226CE" w:rsidRPr="00867CC1">
              <w:rPr>
                <w:rFonts w:ascii="PT Sans" w:hAnsi="PT Sans" w:cs="Arial"/>
                <w:b/>
                <w:shd w:val="clear" w:color="auto" w:fill="FFFFFF"/>
              </w:rPr>
              <w:t>*</w:t>
            </w:r>
          </w:p>
        </w:tc>
      </w:tr>
      <w:tr w:rsidR="00B35C25" w:rsidRPr="00867CC1" w14:paraId="4A88DC0A" w14:textId="77777777" w:rsidTr="00FE57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334F0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1–2</w:t>
            </w:r>
          </w:p>
        </w:tc>
        <w:tc>
          <w:tcPr>
            <w:tcW w:w="4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29B7A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Энергетика, сельское хозяйство</w:t>
            </w:r>
          </w:p>
        </w:tc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36B50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Наиболее вредные отрасли</w:t>
            </w:r>
          </w:p>
        </w:tc>
      </w:tr>
      <w:tr w:rsidR="00B35C25" w:rsidRPr="00867CC1" w14:paraId="0152B7DA" w14:textId="77777777" w:rsidTr="00FE57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E4EC2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3–5</w:t>
            </w:r>
          </w:p>
        </w:tc>
        <w:tc>
          <w:tcPr>
            <w:tcW w:w="4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7498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Транспорт, металлургия, химия</w:t>
            </w:r>
          </w:p>
        </w:tc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5B878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Стабильно высокое воздействие</w:t>
            </w:r>
          </w:p>
        </w:tc>
      </w:tr>
      <w:tr w:rsidR="00B35C25" w:rsidRPr="00867CC1" w14:paraId="61084BD2" w14:textId="77777777" w:rsidTr="00FE57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DB05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6–8</w:t>
            </w:r>
          </w:p>
        </w:tc>
        <w:tc>
          <w:tcPr>
            <w:tcW w:w="4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62AD4" w14:textId="77777777" w:rsidR="00B35C25" w:rsidRPr="00867CC1" w:rsidRDefault="00A42314" w:rsidP="00B35C25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 xml:space="preserve">Текстиль, добыча, </w:t>
            </w:r>
            <w:r w:rsidR="00B35C25" w:rsidRPr="00867CC1">
              <w:rPr>
                <w:rFonts w:ascii="PT Sans" w:hAnsi="PT Sans" w:cs="Arial"/>
                <w:shd w:val="clear" w:color="auto" w:fill="FFFFFF"/>
              </w:rPr>
              <w:t xml:space="preserve">ЦБП </w:t>
            </w:r>
          </w:p>
        </w:tc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5EE6A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Средне-высокое воздействие</w:t>
            </w:r>
          </w:p>
        </w:tc>
      </w:tr>
      <w:tr w:rsidR="00B35C25" w:rsidRPr="00867CC1" w14:paraId="418541D1" w14:textId="77777777" w:rsidTr="00FE57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1A609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9–10</w:t>
            </w:r>
          </w:p>
        </w:tc>
        <w:tc>
          <w:tcPr>
            <w:tcW w:w="4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B6C94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Отходы, пластмассы, строительство</w:t>
            </w:r>
          </w:p>
        </w:tc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14448" w14:textId="77777777" w:rsidR="00A42314" w:rsidRPr="00867CC1" w:rsidRDefault="00A42314">
            <w:pPr>
              <w:rPr>
                <w:rFonts w:ascii="PT Sans" w:hAnsi="PT Sans" w:cs="Arial"/>
                <w:shd w:val="clear" w:color="auto" w:fill="FFFFFF"/>
              </w:rPr>
            </w:pPr>
            <w:r w:rsidRPr="00867CC1">
              <w:rPr>
                <w:rFonts w:ascii="PT Sans" w:hAnsi="PT Sans" w:cs="Arial"/>
                <w:shd w:val="clear" w:color="auto" w:fill="FFFFFF"/>
              </w:rPr>
              <w:t>Среднее, но растущее значение</w:t>
            </w:r>
          </w:p>
        </w:tc>
      </w:tr>
    </w:tbl>
    <w:p w14:paraId="5A67A5D6" w14:textId="77777777" w:rsidR="005D47BD" w:rsidRPr="005D47BD" w:rsidRDefault="005D47BD" w:rsidP="006C7594">
      <w:pPr>
        <w:jc w:val="both"/>
        <w:rPr>
          <w:rFonts w:ascii="PT Sans" w:hAnsi="PT Sans" w:cs="Arial"/>
          <w:i/>
          <w:sz w:val="2"/>
          <w:shd w:val="clear" w:color="auto" w:fill="FFFFFF"/>
        </w:rPr>
      </w:pPr>
    </w:p>
    <w:p w14:paraId="2119409F" w14:textId="24869750" w:rsidR="005D47BD" w:rsidRPr="00867CC1" w:rsidRDefault="004226CE" w:rsidP="006C7594">
      <w:pPr>
        <w:jc w:val="both"/>
        <w:rPr>
          <w:rFonts w:ascii="PT Sans" w:hAnsi="PT Sans" w:cs="Arial"/>
          <w:i/>
          <w:sz w:val="20"/>
          <w:shd w:val="clear" w:color="auto" w:fill="FFFFFF"/>
        </w:rPr>
      </w:pPr>
      <w:r w:rsidRPr="00867CC1">
        <w:rPr>
          <w:rFonts w:ascii="PT Sans" w:hAnsi="PT Sans" w:cs="Arial"/>
          <w:i/>
          <w:sz w:val="20"/>
          <w:shd w:val="clear" w:color="auto" w:fill="FFFFFF"/>
        </w:rPr>
        <w:t>*</w:t>
      </w:r>
      <w:r w:rsidR="00E63D16" w:rsidRPr="00867CC1">
        <w:rPr>
          <w:rFonts w:ascii="PT Sans" w:hAnsi="PT Sans" w:cs="Arial"/>
          <w:i/>
          <w:sz w:val="20"/>
          <w:shd w:val="clear" w:color="auto" w:fill="FFFFFF"/>
        </w:rPr>
        <w:t>на основе</w:t>
      </w:r>
      <w:r w:rsidR="00AA5C8B">
        <w:rPr>
          <w:rFonts w:ascii="PT Sans" w:hAnsi="PT Sans" w:cs="Arial"/>
          <w:i/>
          <w:sz w:val="20"/>
          <w:shd w:val="clear" w:color="auto" w:fill="FFFFFF"/>
        </w:rPr>
        <w:t xml:space="preserve"> данных из открытых источников</w:t>
      </w:r>
    </w:p>
    <w:p w14:paraId="5A547773" w14:textId="3FEAFB0F" w:rsidR="00B35C25" w:rsidRPr="00867CC1" w:rsidRDefault="00B35C25" w:rsidP="00B35C25">
      <w:pPr>
        <w:jc w:val="both"/>
        <w:rPr>
          <w:rFonts w:ascii="PT Sans" w:hAnsi="PT Sans" w:cs="Arial"/>
          <w:shd w:val="clear" w:color="auto" w:fill="FFFFFF"/>
        </w:rPr>
      </w:pPr>
      <w:r w:rsidRPr="00867CC1">
        <w:rPr>
          <w:rFonts w:ascii="PT Sans" w:hAnsi="PT Sans" w:cs="Arial"/>
          <w:shd w:val="clear" w:color="auto" w:fill="FFFFFF"/>
        </w:rPr>
        <w:t xml:space="preserve">АЦБК рассматривает эту данность как отправную точку для системных преобразований. Основным прорывом целлюлозно-бумажной промышленности стал отказ от отбеливания </w:t>
      </w:r>
      <w:r w:rsidR="005C71EF" w:rsidRPr="005F3C97">
        <w:rPr>
          <w:rFonts w:ascii="PT Sans" w:hAnsi="PT Sans" w:cs="Arial"/>
          <w:shd w:val="clear" w:color="auto" w:fill="FFFFFF"/>
        </w:rPr>
        <w:t>элементарным</w:t>
      </w:r>
      <w:r w:rsidR="005C71EF">
        <w:rPr>
          <w:rFonts w:ascii="PT Sans" w:hAnsi="PT Sans" w:cs="Arial"/>
          <w:shd w:val="clear" w:color="auto" w:fill="FFFFFF"/>
        </w:rPr>
        <w:t xml:space="preserve"> </w:t>
      </w:r>
      <w:r w:rsidRPr="00867CC1">
        <w:rPr>
          <w:rFonts w:ascii="PT Sans" w:hAnsi="PT Sans" w:cs="Arial"/>
          <w:shd w:val="clear" w:color="auto" w:fill="FFFFFF"/>
        </w:rPr>
        <w:t>хлором при изготовлении ц</w:t>
      </w:r>
      <w:r w:rsidR="006019B4">
        <w:rPr>
          <w:rFonts w:ascii="PT Sans" w:hAnsi="PT Sans" w:cs="Arial"/>
          <w:shd w:val="clear" w:color="auto" w:fill="FFFFFF"/>
        </w:rPr>
        <w:t>еллюлозы – он пришелся на 1970</w:t>
      </w:r>
      <w:r w:rsidRPr="00867CC1">
        <w:rPr>
          <w:rFonts w:ascii="PT Sans" w:hAnsi="PT Sans" w:cs="Arial"/>
          <w:shd w:val="clear" w:color="auto" w:fill="FFFFFF"/>
        </w:rPr>
        <w:t xml:space="preserve">-1990-е годы </w:t>
      </w:r>
      <w:r w:rsidR="006E0023">
        <w:rPr>
          <w:rFonts w:ascii="PT Sans" w:hAnsi="PT Sans" w:cs="Arial"/>
          <w:shd w:val="clear" w:color="auto" w:fill="FFFFFF"/>
          <w:lang w:val="en-US"/>
        </w:rPr>
        <w:t>XX</w:t>
      </w:r>
      <w:r w:rsidRPr="00867CC1">
        <w:rPr>
          <w:rFonts w:ascii="PT Sans" w:hAnsi="PT Sans" w:cs="Arial"/>
          <w:shd w:val="clear" w:color="auto" w:fill="FFFFFF"/>
        </w:rPr>
        <w:t xml:space="preserve"> века. В России он завершился к середине 2000-х годов, с 2010-х на российских предприятиях начался этап комплексной экологической модернизации. </w:t>
      </w:r>
    </w:p>
    <w:p w14:paraId="75776F8F" w14:textId="50B1AB6A" w:rsidR="00B35C25" w:rsidRPr="00867CC1" w:rsidRDefault="00B35C25" w:rsidP="00B35C25">
      <w:pPr>
        <w:jc w:val="both"/>
        <w:rPr>
          <w:rFonts w:ascii="PT Sans" w:hAnsi="PT Sans" w:cs="Arial"/>
          <w:shd w:val="clear" w:color="auto" w:fill="FFFFFF"/>
        </w:rPr>
      </w:pPr>
      <w:r w:rsidRPr="00867CC1">
        <w:rPr>
          <w:rFonts w:ascii="PT Sans" w:hAnsi="PT Sans" w:cs="Arial"/>
          <w:shd w:val="clear" w:color="auto" w:fill="FFFFFF"/>
        </w:rPr>
        <w:t>Наша задача – разорвать прямую связь между промышленным ро</w:t>
      </w:r>
      <w:r w:rsidR="00C70123">
        <w:rPr>
          <w:rFonts w:ascii="PT Sans" w:hAnsi="PT Sans" w:cs="Arial"/>
          <w:shd w:val="clear" w:color="auto" w:fill="FFFFFF"/>
        </w:rPr>
        <w:t>стом и давлением на экосистемы. Ч</w:t>
      </w:r>
      <w:r w:rsidRPr="00867CC1">
        <w:rPr>
          <w:rFonts w:ascii="PT Sans" w:hAnsi="PT Sans" w:cs="Arial"/>
          <w:shd w:val="clear" w:color="auto" w:fill="FFFFFF"/>
        </w:rPr>
        <w:t xml:space="preserve">ерез модернизацию производства, внедрение наилучших доступных технологий и циркулярные решения мы трансформируем линейную модель бизнеса, где отходы становятся ресурсами, а возобновляемое сырье – нормой. </w:t>
      </w:r>
    </w:p>
    <w:p w14:paraId="01FFB9AA" w14:textId="66D4A3D1" w:rsidR="00B35C25" w:rsidRPr="00867CC1" w:rsidRDefault="00B35C25" w:rsidP="00B35C25">
      <w:pPr>
        <w:jc w:val="both"/>
        <w:rPr>
          <w:rFonts w:ascii="PT Sans" w:hAnsi="PT Sans" w:cs="Arial"/>
          <w:shd w:val="clear" w:color="auto" w:fill="FFFFFF"/>
        </w:rPr>
      </w:pPr>
      <w:r w:rsidRPr="00867CC1">
        <w:rPr>
          <w:rFonts w:ascii="PT Sans" w:hAnsi="PT Sans" w:cs="Arial"/>
          <w:shd w:val="clear" w:color="auto" w:fill="FFFFFF"/>
        </w:rPr>
        <w:t>Кроме экологической повестки, Архангельский ЦБК следует и другим принципам устойчивого развития, уделяя внима</w:t>
      </w:r>
      <w:r w:rsidR="00C70123">
        <w:rPr>
          <w:rFonts w:ascii="PT Sans" w:hAnsi="PT Sans" w:cs="Arial"/>
          <w:shd w:val="clear" w:color="auto" w:fill="FFFFFF"/>
        </w:rPr>
        <w:t xml:space="preserve">ние социальной ответственности и </w:t>
      </w:r>
      <w:r w:rsidRPr="00867CC1">
        <w:rPr>
          <w:rFonts w:ascii="PT Sans" w:hAnsi="PT Sans" w:cs="Arial"/>
          <w:shd w:val="clear" w:color="auto" w:fill="FFFFFF"/>
        </w:rPr>
        <w:t>совершенствованию</w:t>
      </w:r>
      <w:r w:rsidR="00C70123">
        <w:rPr>
          <w:rFonts w:ascii="PT Sans" w:hAnsi="PT Sans" w:cs="Arial"/>
          <w:shd w:val="clear" w:color="auto" w:fill="FFFFFF"/>
        </w:rPr>
        <w:t xml:space="preserve"> корпоративного управления</w:t>
      </w:r>
      <w:r w:rsidRPr="00867CC1">
        <w:rPr>
          <w:rFonts w:ascii="PT Sans" w:hAnsi="PT Sans" w:cs="Arial"/>
          <w:shd w:val="clear" w:color="auto" w:fill="FFFFFF"/>
        </w:rPr>
        <w:t xml:space="preserve">. </w:t>
      </w:r>
      <w:r w:rsidR="00E77A25">
        <w:rPr>
          <w:rFonts w:ascii="PT Sans" w:hAnsi="PT Sans" w:cs="Arial"/>
          <w:shd w:val="clear" w:color="auto" w:fill="FFFFFF"/>
        </w:rPr>
        <w:t>О</w:t>
      </w:r>
      <w:r w:rsidRPr="00867CC1">
        <w:rPr>
          <w:rFonts w:ascii="PT Sans" w:hAnsi="PT Sans" w:cs="Arial"/>
          <w:shd w:val="clear" w:color="auto" w:fill="FFFFFF"/>
        </w:rPr>
        <w:t xml:space="preserve">тчет впервые подготовлен с учётом методических рекомендаций, утвержденных Министерством экономического развития РФ в 2023 году. </w:t>
      </w:r>
    </w:p>
    <w:p w14:paraId="4A8253D9" w14:textId="77777777" w:rsidR="00B35C25" w:rsidRPr="00867CC1" w:rsidRDefault="00B35C25" w:rsidP="00B35C25">
      <w:pPr>
        <w:jc w:val="both"/>
        <w:rPr>
          <w:rFonts w:ascii="PT Sans" w:hAnsi="PT Sans" w:cs="Arial"/>
          <w:shd w:val="clear" w:color="auto" w:fill="FFFFFF"/>
        </w:rPr>
      </w:pPr>
      <w:r w:rsidRPr="00867CC1">
        <w:rPr>
          <w:rFonts w:ascii="PT Sans" w:hAnsi="PT Sans" w:cs="Arial"/>
          <w:shd w:val="clear" w:color="auto" w:fill="FFFFFF"/>
        </w:rPr>
        <w:t xml:space="preserve">В дайджесте мы собрали для вас наиболее значимые инициативы за 2024 год, которые отражают вклад Архангельского ЦБК в создание устойчивого будущего. </w:t>
      </w:r>
    </w:p>
    <w:p w14:paraId="04D7824E" w14:textId="77777777" w:rsidR="00B92B7E" w:rsidRPr="00867CC1" w:rsidRDefault="00B92B7E" w:rsidP="00B92B7E">
      <w:pPr>
        <w:pStyle w:val="1"/>
        <w:rPr>
          <w:rFonts w:ascii="PT Sans" w:eastAsiaTheme="minorHAnsi" w:hAnsi="PT Sans"/>
          <w:i/>
          <w:sz w:val="24"/>
        </w:rPr>
      </w:pPr>
      <w:r w:rsidRPr="00867CC1">
        <w:rPr>
          <w:rStyle w:val="a8"/>
          <w:rFonts w:ascii="PT Sans" w:eastAsiaTheme="minorHAnsi" w:hAnsi="PT Sans"/>
          <w:b/>
          <w:bCs/>
          <w:i/>
          <w:sz w:val="24"/>
        </w:rPr>
        <w:t>Экология: меньше воды, отходов и выбросов</w:t>
      </w:r>
    </w:p>
    <w:p w14:paraId="13CEC1CD" w14:textId="3EB5D6FC" w:rsidR="00692D11" w:rsidRDefault="00692D11" w:rsidP="00DD4D6D">
      <w:pPr>
        <w:jc w:val="both"/>
        <w:rPr>
          <w:rFonts w:ascii="PT Sans" w:hAnsi="PT Sans" w:cs="Arial"/>
          <w:shd w:val="clear" w:color="auto" w:fill="FFFFFF"/>
        </w:rPr>
      </w:pPr>
      <w:r w:rsidRPr="005F3C97">
        <w:rPr>
          <w:rFonts w:ascii="PT Sans" w:hAnsi="PT Sans" w:cs="Arial"/>
          <w:shd w:val="clear" w:color="auto" w:fill="FFFFFF"/>
        </w:rPr>
        <w:t xml:space="preserve">По итогам 2024 г. </w:t>
      </w:r>
      <w:r w:rsidR="00DB2BF7" w:rsidRPr="005F3C97">
        <w:rPr>
          <w:rFonts w:ascii="PT Sans" w:hAnsi="PT Sans" w:cs="Arial"/>
          <w:shd w:val="clear" w:color="auto" w:fill="FFFFFF"/>
        </w:rPr>
        <w:t>Архангельский ЦБК уменьшил</w:t>
      </w:r>
      <w:r w:rsidRPr="005F3C97">
        <w:rPr>
          <w:rFonts w:ascii="PT Sans" w:hAnsi="PT Sans" w:cs="Arial"/>
          <w:shd w:val="clear" w:color="auto" w:fill="FFFFFF"/>
        </w:rPr>
        <w:t xml:space="preserve"> образование отходов производства </w:t>
      </w:r>
      <w:r w:rsidR="00DB2BF7" w:rsidRPr="005F3C97">
        <w:rPr>
          <w:rFonts w:ascii="PT Sans" w:hAnsi="PT Sans" w:cs="Arial"/>
          <w:shd w:val="clear" w:color="auto" w:fill="FFFFFF"/>
        </w:rPr>
        <w:t xml:space="preserve">год к году </w:t>
      </w:r>
      <w:r w:rsidR="003A2E5C" w:rsidRPr="005F3C97">
        <w:rPr>
          <w:rFonts w:ascii="PT Sans" w:hAnsi="PT Sans" w:cs="Arial"/>
          <w:shd w:val="clear" w:color="auto" w:fill="FFFFFF"/>
        </w:rPr>
        <w:t xml:space="preserve">на 10 </w:t>
      </w:r>
      <w:r w:rsidRPr="005F3C97">
        <w:rPr>
          <w:rFonts w:ascii="PT Sans" w:hAnsi="PT Sans" w:cs="Arial"/>
          <w:shd w:val="clear" w:color="auto" w:fill="FFFFFF"/>
        </w:rPr>
        <w:t>%. Валовый выброс загрязняющих веществ в атмо</w:t>
      </w:r>
      <w:r w:rsidR="003A2E5C" w:rsidRPr="005F3C97">
        <w:rPr>
          <w:rFonts w:ascii="PT Sans" w:hAnsi="PT Sans" w:cs="Arial"/>
          <w:shd w:val="clear" w:color="auto" w:fill="FFFFFF"/>
        </w:rPr>
        <w:t xml:space="preserve">сферный воздух сократился на 7 </w:t>
      </w:r>
      <w:r w:rsidRPr="005F3C97">
        <w:rPr>
          <w:rFonts w:ascii="PT Sans" w:hAnsi="PT Sans" w:cs="Arial"/>
          <w:shd w:val="clear" w:color="auto" w:fill="FFFFFF"/>
        </w:rPr>
        <w:t>%.</w:t>
      </w:r>
      <w:r w:rsidRPr="00692D11">
        <w:rPr>
          <w:rFonts w:ascii="PT Sans" w:hAnsi="PT Sans" w:cs="Arial"/>
          <w:shd w:val="clear" w:color="auto" w:fill="FFFFFF"/>
        </w:rPr>
        <w:t xml:space="preserve">  </w:t>
      </w:r>
    </w:p>
    <w:p w14:paraId="73A6E019" w14:textId="3709E13A" w:rsidR="00692D11" w:rsidRDefault="00692D11" w:rsidP="00DD4D6D">
      <w:pPr>
        <w:jc w:val="both"/>
        <w:rPr>
          <w:rFonts w:ascii="PT Sans" w:hAnsi="PT Sans" w:cs="Arial"/>
          <w:shd w:val="clear" w:color="auto" w:fill="FFFFFF"/>
        </w:rPr>
      </w:pPr>
      <w:r>
        <w:rPr>
          <w:rFonts w:ascii="PT Sans" w:hAnsi="PT Sans" w:cs="Arial"/>
          <w:shd w:val="clear" w:color="auto" w:fill="FFFFFF"/>
        </w:rPr>
        <w:lastRenderedPageBreak/>
        <w:t xml:space="preserve">Комплексная работа по снижению воздействия на окружающую среду </w:t>
      </w:r>
      <w:r w:rsidR="007356EB">
        <w:rPr>
          <w:rFonts w:ascii="PT Sans" w:hAnsi="PT Sans" w:cs="Arial"/>
          <w:shd w:val="clear" w:color="auto" w:fill="FFFFFF"/>
        </w:rPr>
        <w:t>проводится</w:t>
      </w:r>
      <w:r>
        <w:rPr>
          <w:rFonts w:ascii="PT Sans" w:hAnsi="PT Sans" w:cs="Arial"/>
          <w:shd w:val="clear" w:color="auto" w:fill="FFFFFF"/>
        </w:rPr>
        <w:t xml:space="preserve"> в рамках Комплексного экологического разрешения</w:t>
      </w:r>
      <w:r w:rsidR="007356EB">
        <w:rPr>
          <w:rFonts w:ascii="PT Sans" w:hAnsi="PT Sans" w:cs="Arial"/>
          <w:shd w:val="clear" w:color="auto" w:fill="FFFFFF"/>
        </w:rPr>
        <w:t xml:space="preserve"> (КЭР)</w:t>
      </w:r>
      <w:r>
        <w:rPr>
          <w:rFonts w:ascii="PT Sans" w:hAnsi="PT Sans" w:cs="Arial"/>
          <w:shd w:val="clear" w:color="auto" w:fill="FFFFFF"/>
        </w:rPr>
        <w:t xml:space="preserve">, которое комбинат одним из первых в отрасли получил в 2021 году. </w:t>
      </w:r>
      <w:r w:rsidR="007356EB">
        <w:rPr>
          <w:rFonts w:ascii="PT Sans" w:hAnsi="PT Sans" w:cs="Arial"/>
          <w:shd w:val="clear" w:color="auto" w:fill="FFFFFF"/>
        </w:rPr>
        <w:t>КЭР подтверждает, что технологические процессы компании, оборудование и нормативы соответствую</w:t>
      </w:r>
      <w:r w:rsidR="006F26AF">
        <w:rPr>
          <w:rFonts w:ascii="PT Sans" w:hAnsi="PT Sans" w:cs="Arial"/>
          <w:shd w:val="clear" w:color="auto" w:fill="FFFFFF"/>
        </w:rPr>
        <w:t>т</w:t>
      </w:r>
      <w:r w:rsidR="007356EB">
        <w:rPr>
          <w:rFonts w:ascii="PT Sans" w:hAnsi="PT Sans" w:cs="Arial"/>
          <w:shd w:val="clear" w:color="auto" w:fill="FFFFFF"/>
        </w:rPr>
        <w:t xml:space="preserve"> наилучшим доступным технологиями и действующим природоохранным нормам. </w:t>
      </w:r>
    </w:p>
    <w:p w14:paraId="5EE34878" w14:textId="496E099E" w:rsidR="00B130DB" w:rsidRPr="00867CC1" w:rsidRDefault="00DD4D6D" w:rsidP="00DD4D6D">
      <w:pPr>
        <w:pStyle w:val="a3"/>
        <w:jc w:val="both"/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</w:pPr>
      <w:r w:rsidRPr="00867CC1"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  <w:t xml:space="preserve">Многолетний масштабный проект АЦБК - планомерный </w:t>
      </w:r>
      <w:r w:rsidR="00B130DB" w:rsidRPr="00867CC1"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  <w:t>переход на газ</w:t>
      </w:r>
      <w:r w:rsidR="005F3C97"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  <w:t xml:space="preserve">. </w:t>
      </w:r>
      <w:r w:rsidR="00B130DB" w:rsidRPr="00867CC1"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  <w:t>Это снижает углеродный след</w:t>
      </w:r>
      <w:r w:rsidRPr="00867CC1"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  <w:t xml:space="preserve"> и</w:t>
      </w:r>
      <w:r w:rsidR="00B130DB" w:rsidRPr="00867CC1">
        <w:rPr>
          <w:rFonts w:ascii="PT Sans" w:eastAsiaTheme="minorHAnsi" w:hAnsi="PT Sans" w:cs="Arial"/>
          <w:color w:val="auto"/>
          <w:sz w:val="22"/>
          <w:szCs w:val="22"/>
          <w:shd w:val="clear" w:color="auto" w:fill="FFFFFF"/>
          <w:lang w:eastAsia="en-US"/>
        </w:rPr>
        <w:t xml:space="preserve"> создаёт возможность газификации населённых пунктов вокруг комбината — пример того, как экологическая инициатива ускоряет развитие территорий. Общий перспективный объем потребления газа комбинатом составит порядка 550 млн кубометров в год.</w:t>
      </w:r>
    </w:p>
    <w:p w14:paraId="50601F26" w14:textId="7BBFE379" w:rsidR="00B130DB" w:rsidRPr="00123B7A" w:rsidRDefault="00B130DB" w:rsidP="003472CA">
      <w:pPr>
        <w:spacing w:after="0" w:line="240" w:lineRule="auto"/>
        <w:jc w:val="both"/>
        <w:rPr>
          <w:rFonts w:ascii="PT Sans" w:hAnsi="PT Sans"/>
        </w:rPr>
      </w:pPr>
      <w:r w:rsidRPr="00123B7A">
        <w:rPr>
          <w:rFonts w:ascii="PT Sans" w:hAnsi="PT Sans"/>
        </w:rPr>
        <w:t xml:space="preserve">Параллельно комбинат </w:t>
      </w:r>
      <w:r w:rsidR="00BE4A40" w:rsidRPr="00123B7A">
        <w:rPr>
          <w:rFonts w:ascii="PT Sans" w:hAnsi="PT Sans"/>
        </w:rPr>
        <w:t>использует</w:t>
      </w:r>
      <w:r w:rsidR="00DD4D6D" w:rsidRPr="00123B7A">
        <w:rPr>
          <w:rFonts w:ascii="PT Sans" w:hAnsi="PT Sans"/>
        </w:rPr>
        <w:t xml:space="preserve"> </w:t>
      </w:r>
      <w:r w:rsidR="00BE4A40" w:rsidRPr="00123B7A">
        <w:rPr>
          <w:rFonts w:ascii="PT Sans" w:hAnsi="PT Sans"/>
        </w:rPr>
        <w:t>возобновляемые</w:t>
      </w:r>
      <w:r w:rsidRPr="00123B7A">
        <w:rPr>
          <w:rFonts w:ascii="PT Sans" w:hAnsi="PT Sans"/>
        </w:rPr>
        <w:t xml:space="preserve"> вид</w:t>
      </w:r>
      <w:r w:rsidR="00BE4A40" w:rsidRPr="00123B7A">
        <w:rPr>
          <w:rFonts w:ascii="PT Sans" w:hAnsi="PT Sans"/>
        </w:rPr>
        <w:t>ы</w:t>
      </w:r>
      <w:r w:rsidRPr="00123B7A">
        <w:rPr>
          <w:rFonts w:ascii="PT Sans" w:hAnsi="PT Sans"/>
        </w:rPr>
        <w:t xml:space="preserve"> топлива</w:t>
      </w:r>
      <w:r w:rsidR="00DD4D6D" w:rsidRPr="00123B7A">
        <w:rPr>
          <w:rFonts w:ascii="PT Sans" w:hAnsi="PT Sans"/>
        </w:rPr>
        <w:t xml:space="preserve"> – </w:t>
      </w:r>
      <w:r w:rsidR="00BE4A40" w:rsidRPr="00123B7A">
        <w:rPr>
          <w:rFonts w:ascii="PT Sans" w:hAnsi="PT Sans"/>
        </w:rPr>
        <w:t xml:space="preserve">в 2024 году </w:t>
      </w:r>
      <w:r w:rsidR="00DD4D6D" w:rsidRPr="00123B7A">
        <w:rPr>
          <w:rFonts w:ascii="PT Sans" w:hAnsi="PT Sans"/>
        </w:rPr>
        <w:t xml:space="preserve">ими </w:t>
      </w:r>
      <w:r w:rsidR="00DA3C7D" w:rsidRPr="00123B7A">
        <w:rPr>
          <w:rFonts w:ascii="PT Sans" w:hAnsi="PT Sans"/>
        </w:rPr>
        <w:t>о</w:t>
      </w:r>
      <w:r w:rsidRPr="00123B7A">
        <w:rPr>
          <w:rFonts w:ascii="PT Sans" w:hAnsi="PT Sans"/>
        </w:rPr>
        <w:t xml:space="preserve">беспечена почти половина потребляемой энергии. </w:t>
      </w:r>
    </w:p>
    <w:p w14:paraId="5744EDB4" w14:textId="63DF5086" w:rsidR="00470062" w:rsidRDefault="00A24401" w:rsidP="00470062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" w:hAnsi="PT Sans"/>
        </w:rPr>
      </w:pPr>
      <w:r w:rsidRPr="00123B7A">
        <w:rPr>
          <w:rFonts w:ascii="PT Sans" w:hAnsi="PT Sans"/>
        </w:rPr>
        <w:t>К</w:t>
      </w:r>
      <w:r w:rsidR="00E92928" w:rsidRPr="00123B7A">
        <w:rPr>
          <w:rFonts w:ascii="PT Sans" w:hAnsi="PT Sans"/>
        </w:rPr>
        <w:t xml:space="preserve">омпания подтвердила </w:t>
      </w:r>
      <w:r w:rsidR="00470062" w:rsidRPr="00123B7A">
        <w:rPr>
          <w:rFonts w:ascii="PT Sans" w:hAnsi="PT Sans"/>
        </w:rPr>
        <w:t>сертификат</w:t>
      </w:r>
      <w:r w:rsidR="00E92928" w:rsidRPr="00867CC1">
        <w:rPr>
          <w:rFonts w:ascii="PT Sans" w:hAnsi="PT Sans"/>
        </w:rPr>
        <w:t xml:space="preserve"> соответствия </w:t>
      </w:r>
      <w:r w:rsidR="00470062">
        <w:rPr>
          <w:rFonts w:ascii="PT Sans" w:hAnsi="PT Sans"/>
        </w:rPr>
        <w:t xml:space="preserve">своей </w:t>
      </w:r>
      <w:r w:rsidR="00E92928" w:rsidRPr="00867CC1">
        <w:rPr>
          <w:rFonts w:ascii="PT Sans" w:hAnsi="PT Sans"/>
        </w:rPr>
        <w:t>системы энергоменеджмента международн</w:t>
      </w:r>
      <w:r w:rsidR="00470062">
        <w:rPr>
          <w:rFonts w:ascii="PT Sans" w:hAnsi="PT Sans"/>
        </w:rPr>
        <w:t>ому стандарту</w:t>
      </w:r>
      <w:r w:rsidR="00E92928" w:rsidRPr="00867CC1">
        <w:rPr>
          <w:rFonts w:ascii="PT Sans" w:hAnsi="PT Sans"/>
        </w:rPr>
        <w:t xml:space="preserve"> ISO 50001</w:t>
      </w:r>
      <w:r w:rsidR="00470062">
        <w:rPr>
          <w:rFonts w:ascii="PT Sans" w:hAnsi="PT Sans"/>
        </w:rPr>
        <w:t xml:space="preserve">:2018, который регулирует управление энергопотреблением.  </w:t>
      </w:r>
    </w:p>
    <w:p w14:paraId="092123C3" w14:textId="77777777" w:rsidR="00DB2BF7" w:rsidRPr="00867CC1" w:rsidRDefault="00DB2BF7" w:rsidP="00470062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" w:hAnsi="PT Sans"/>
        </w:rPr>
      </w:pPr>
    </w:p>
    <w:p w14:paraId="67E49ED3" w14:textId="77777777" w:rsidR="00EF758D" w:rsidRPr="00867CC1" w:rsidRDefault="00FE30CF" w:rsidP="00243631">
      <w:pPr>
        <w:pStyle w:val="1"/>
        <w:spacing w:before="0" w:beforeAutospacing="0" w:after="0" w:afterAutospacing="0"/>
        <w:rPr>
          <w:rStyle w:val="a8"/>
          <w:rFonts w:ascii="PT Sans" w:eastAsiaTheme="minorHAnsi" w:hAnsi="PT Sans"/>
          <w:b/>
          <w:bCs/>
          <w:i/>
          <w:sz w:val="24"/>
        </w:rPr>
      </w:pPr>
      <w:r w:rsidRPr="00123B7A">
        <w:rPr>
          <w:rStyle w:val="a8"/>
          <w:rFonts w:ascii="PT Sans" w:eastAsiaTheme="minorHAnsi" w:hAnsi="PT Sans"/>
          <w:b/>
          <w:bCs/>
          <w:i/>
          <w:sz w:val="24"/>
        </w:rPr>
        <w:t>Ответственное лесопользование</w:t>
      </w:r>
      <w:r w:rsidR="00C0347B" w:rsidRPr="00123B7A">
        <w:rPr>
          <w:rStyle w:val="a8"/>
          <w:rFonts w:ascii="PT Sans" w:eastAsiaTheme="minorHAnsi" w:hAnsi="PT Sans"/>
          <w:b/>
          <w:bCs/>
          <w:i/>
          <w:sz w:val="24"/>
        </w:rPr>
        <w:t xml:space="preserve"> и восстановление биоразнообразия</w:t>
      </w:r>
    </w:p>
    <w:p w14:paraId="0A611FCC" w14:textId="4B0D94B9" w:rsidR="002E10B6" w:rsidRDefault="002E10B6" w:rsidP="00243631">
      <w:pPr>
        <w:spacing w:after="0" w:line="240" w:lineRule="auto"/>
        <w:jc w:val="both"/>
        <w:rPr>
          <w:rFonts w:ascii="PT Sans" w:hAnsi="PT Sans" w:cs="Arial"/>
          <w:color w:val="FF0000"/>
        </w:rPr>
      </w:pPr>
    </w:p>
    <w:p w14:paraId="51B2A62F" w14:textId="4FF36CE2" w:rsidR="002E10B6" w:rsidRPr="002E10B6" w:rsidRDefault="002E10B6" w:rsidP="00243631">
      <w:pPr>
        <w:spacing w:after="0" w:line="240" w:lineRule="auto"/>
        <w:jc w:val="both"/>
        <w:rPr>
          <w:rFonts w:ascii="PT Sans" w:hAnsi="PT Sans" w:cstheme="minorHAnsi"/>
        </w:rPr>
      </w:pPr>
      <w:r>
        <w:rPr>
          <w:rFonts w:ascii="PT Sans" w:hAnsi="PT Sans" w:cstheme="minorHAnsi"/>
        </w:rPr>
        <w:t>Политика ответственного</w:t>
      </w:r>
      <w:r w:rsidRPr="002E10B6">
        <w:rPr>
          <w:rFonts w:ascii="PT Sans" w:hAnsi="PT Sans" w:cstheme="minorHAnsi"/>
        </w:rPr>
        <w:t xml:space="preserve"> лесопользовани</w:t>
      </w:r>
      <w:r>
        <w:rPr>
          <w:rFonts w:ascii="PT Sans" w:hAnsi="PT Sans" w:cstheme="minorHAnsi"/>
        </w:rPr>
        <w:t>я</w:t>
      </w:r>
      <w:r w:rsidRPr="002E10B6">
        <w:rPr>
          <w:rFonts w:ascii="PT Sans" w:hAnsi="PT Sans" w:cstheme="minorHAnsi"/>
        </w:rPr>
        <w:t xml:space="preserve"> АЦБК </w:t>
      </w:r>
      <w:r>
        <w:rPr>
          <w:rFonts w:ascii="PT Sans" w:hAnsi="PT Sans" w:cstheme="minorHAnsi"/>
        </w:rPr>
        <w:t xml:space="preserve">направлена </w:t>
      </w:r>
      <w:r w:rsidRPr="002E10B6">
        <w:rPr>
          <w:rFonts w:ascii="PT Sans" w:hAnsi="PT Sans" w:cstheme="minorHAnsi"/>
        </w:rPr>
        <w:t>на формирование условий</w:t>
      </w:r>
      <w:r>
        <w:rPr>
          <w:rFonts w:ascii="PT Sans" w:hAnsi="PT Sans" w:cstheme="minorHAnsi"/>
        </w:rPr>
        <w:t>,</w:t>
      </w:r>
      <w:r w:rsidRPr="002E10B6">
        <w:rPr>
          <w:rFonts w:ascii="PT Sans" w:hAnsi="PT Sans" w:cstheme="minorHAnsi"/>
        </w:rPr>
        <w:t xml:space="preserve"> при которых возможно и сохранение лесных </w:t>
      </w:r>
      <w:r w:rsidR="004E1880">
        <w:rPr>
          <w:rFonts w:ascii="PT Sans" w:hAnsi="PT Sans" w:cstheme="minorHAnsi"/>
        </w:rPr>
        <w:t xml:space="preserve">экосистем, </w:t>
      </w:r>
      <w:r w:rsidRPr="002E10B6">
        <w:rPr>
          <w:rFonts w:ascii="PT Sans" w:hAnsi="PT Sans" w:cstheme="minorHAnsi"/>
        </w:rPr>
        <w:t>и непрерывное обеспечение предприятия сырьем:</w:t>
      </w:r>
    </w:p>
    <w:p w14:paraId="4D9E4053" w14:textId="77777777" w:rsidR="002E10B6" w:rsidRPr="002E10B6" w:rsidRDefault="002E10B6" w:rsidP="002E10B6">
      <w:pPr>
        <w:spacing w:after="0" w:line="240" w:lineRule="auto"/>
        <w:jc w:val="both"/>
        <w:rPr>
          <w:rFonts w:ascii="PT Sans" w:hAnsi="PT Sans" w:cstheme="minorHAnsi"/>
        </w:rPr>
      </w:pPr>
    </w:p>
    <w:p w14:paraId="4B169588" w14:textId="1BA261BD" w:rsidR="002E10B6" w:rsidRPr="002E10B6" w:rsidRDefault="002E10B6" w:rsidP="002E10B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PT Sans" w:hAnsi="PT Sans" w:cstheme="minorHAnsi"/>
        </w:rPr>
      </w:pPr>
      <w:r w:rsidRPr="002E10B6">
        <w:rPr>
          <w:rFonts w:ascii="PT Sans" w:hAnsi="PT Sans" w:cstheme="minorHAnsi"/>
        </w:rPr>
        <w:t>постепенный переход от сплошных рубок к выборочным (их площадь в 2024 г.</w:t>
      </w:r>
      <w:r w:rsidR="004E1880">
        <w:rPr>
          <w:rFonts w:ascii="PT Sans" w:hAnsi="PT Sans" w:cstheme="minorHAnsi"/>
        </w:rPr>
        <w:t xml:space="preserve"> составила</w:t>
      </w:r>
      <w:r w:rsidRPr="002E10B6">
        <w:rPr>
          <w:rFonts w:ascii="PT Sans" w:hAnsi="PT Sans" w:cstheme="minorHAnsi"/>
        </w:rPr>
        <w:t xml:space="preserve"> </w:t>
      </w:r>
      <w:r w:rsidR="004E1880">
        <w:rPr>
          <w:rFonts w:ascii="PT Sans" w:hAnsi="PT Sans" w:cstheme="minorHAnsi"/>
        </w:rPr>
        <w:t xml:space="preserve">более </w:t>
      </w:r>
      <w:r w:rsidRPr="002E10B6">
        <w:rPr>
          <w:rFonts w:ascii="PT Sans" w:hAnsi="PT Sans" w:cstheme="minorHAnsi"/>
        </w:rPr>
        <w:t>1</w:t>
      </w:r>
      <w:r w:rsidR="009179A6">
        <w:rPr>
          <w:rFonts w:ascii="PT Sans" w:hAnsi="PT Sans" w:cstheme="minorHAnsi"/>
        </w:rPr>
        <w:t>,</w:t>
      </w:r>
      <w:r w:rsidR="004E1880">
        <w:rPr>
          <w:rFonts w:ascii="PT Sans" w:hAnsi="PT Sans" w:cstheme="minorHAnsi"/>
        </w:rPr>
        <w:t>3</w:t>
      </w:r>
      <w:r w:rsidRPr="002E10B6">
        <w:rPr>
          <w:rFonts w:ascii="PT Sans" w:hAnsi="PT Sans" w:cstheme="minorHAnsi"/>
        </w:rPr>
        <w:t xml:space="preserve"> га);</w:t>
      </w:r>
    </w:p>
    <w:p w14:paraId="3C735308" w14:textId="1543A4EC" w:rsidR="002E10B6" w:rsidRPr="002E10B6" w:rsidRDefault="002E10B6" w:rsidP="002E10B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PT Sans" w:hAnsi="PT Sans" w:cstheme="minorHAnsi"/>
        </w:rPr>
      </w:pPr>
      <w:r w:rsidRPr="002E10B6">
        <w:rPr>
          <w:rFonts w:ascii="PT Sans" w:hAnsi="PT Sans" w:cstheme="minorHAnsi"/>
        </w:rPr>
        <w:t xml:space="preserve">соблюдение принципа «сколько вырубил - столько восстановил в следующем году» (площадь лесовосстановления </w:t>
      </w:r>
      <w:r w:rsidR="004E1880">
        <w:rPr>
          <w:rFonts w:ascii="PT Sans" w:hAnsi="PT Sans" w:cstheme="minorHAnsi"/>
        </w:rPr>
        <w:t xml:space="preserve">составила </w:t>
      </w:r>
      <w:r w:rsidR="009179A6">
        <w:rPr>
          <w:rFonts w:ascii="PT Sans" w:hAnsi="PT Sans" w:cstheme="minorHAnsi"/>
        </w:rPr>
        <w:t xml:space="preserve">почти 4,8 тыс. </w:t>
      </w:r>
      <w:r w:rsidRPr="002E10B6">
        <w:rPr>
          <w:rFonts w:ascii="PT Sans" w:hAnsi="PT Sans" w:cstheme="minorHAnsi"/>
        </w:rPr>
        <w:t xml:space="preserve">га, высажено более 370 тыс. </w:t>
      </w:r>
      <w:r w:rsidR="004E1880">
        <w:rPr>
          <w:rFonts w:ascii="PT Sans" w:hAnsi="PT Sans" w:cstheme="minorHAnsi"/>
        </w:rPr>
        <w:t>сеянцев с закрытой корневой системой</w:t>
      </w:r>
      <w:r w:rsidRPr="002E10B6">
        <w:rPr>
          <w:rFonts w:ascii="PT Sans" w:hAnsi="PT Sans" w:cstheme="minorHAnsi"/>
        </w:rPr>
        <w:t xml:space="preserve">); </w:t>
      </w:r>
    </w:p>
    <w:p w14:paraId="2F451E78" w14:textId="4467A8B7" w:rsidR="002E10B6" w:rsidRPr="00C21CAB" w:rsidRDefault="00217649" w:rsidP="002E10B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PT Sans" w:hAnsi="PT Sans" w:cstheme="minorHAnsi"/>
        </w:rPr>
      </w:pPr>
      <w:r>
        <w:rPr>
          <w:rFonts w:ascii="PT Sans" w:hAnsi="PT Sans" w:cstheme="minorHAnsi"/>
        </w:rPr>
        <w:t>увеличение</w:t>
      </w:r>
      <w:r w:rsidR="002E10B6" w:rsidRPr="002E10B6">
        <w:rPr>
          <w:rFonts w:ascii="PT Sans" w:hAnsi="PT Sans" w:cstheme="minorHAnsi"/>
        </w:rPr>
        <w:t xml:space="preserve"> объемов уход</w:t>
      </w:r>
      <w:r>
        <w:rPr>
          <w:rFonts w:ascii="PT Sans" w:hAnsi="PT Sans" w:cstheme="minorHAnsi"/>
        </w:rPr>
        <w:t>а</w:t>
      </w:r>
      <w:r w:rsidR="002E10B6" w:rsidRPr="002E10B6">
        <w:rPr>
          <w:rFonts w:ascii="PT Sans" w:hAnsi="PT Sans" w:cstheme="minorHAnsi"/>
        </w:rPr>
        <w:t xml:space="preserve"> за молодыми </w:t>
      </w:r>
      <w:r w:rsidR="007D1558">
        <w:rPr>
          <w:rFonts w:ascii="PT Sans" w:hAnsi="PT Sans" w:cstheme="minorHAnsi"/>
        </w:rPr>
        <w:t>растениями</w:t>
      </w:r>
      <w:r w:rsidR="002E10B6" w:rsidRPr="002E10B6">
        <w:rPr>
          <w:rFonts w:ascii="PT Sans" w:hAnsi="PT Sans" w:cstheme="minorHAnsi"/>
        </w:rPr>
        <w:t xml:space="preserve"> </w:t>
      </w:r>
      <w:r w:rsidR="002C5294">
        <w:rPr>
          <w:rFonts w:ascii="PT Sans" w:hAnsi="PT Sans" w:cstheme="minorHAnsi"/>
        </w:rPr>
        <w:t>для повышения при</w:t>
      </w:r>
      <w:r w:rsidR="00C21CAB">
        <w:rPr>
          <w:rFonts w:ascii="PT Sans" w:hAnsi="PT Sans" w:cstheme="minorHAnsi"/>
        </w:rPr>
        <w:t>живаемости (</w:t>
      </w:r>
      <w:r w:rsidR="00C21CAB" w:rsidRPr="00C21CAB">
        <w:rPr>
          <w:rFonts w:ascii="PT Sans" w:hAnsi="PT Sans" w:cstheme="minorHAnsi"/>
        </w:rPr>
        <w:t>уход за лесными культурами включает себя оправку растений после зимы, скашивание сорной травы 3-4 раза в бесснежный период)</w:t>
      </w:r>
      <w:r w:rsidRPr="00C21CAB">
        <w:rPr>
          <w:rFonts w:ascii="PT Sans" w:hAnsi="PT Sans" w:cstheme="minorHAnsi"/>
        </w:rPr>
        <w:t>;</w:t>
      </w:r>
    </w:p>
    <w:p w14:paraId="09AE9CCA" w14:textId="5D31F089" w:rsidR="002E10B6" w:rsidRPr="002E10B6" w:rsidRDefault="00006650" w:rsidP="002E10B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PT Sans" w:hAnsi="PT Sans" w:cstheme="minorHAnsi"/>
        </w:rPr>
      </w:pPr>
      <w:r>
        <w:rPr>
          <w:rFonts w:ascii="PT Sans" w:hAnsi="PT Sans" w:cstheme="minorHAnsi"/>
        </w:rPr>
        <w:t>комплекс</w:t>
      </w:r>
      <w:r w:rsidR="002E10B6" w:rsidRPr="002E10B6">
        <w:rPr>
          <w:rFonts w:ascii="Times New Roman" w:hAnsi="Times New Roman" w:cs="Times New Roman"/>
          <w:sz w:val="28"/>
          <w:szCs w:val="28"/>
        </w:rPr>
        <w:t xml:space="preserve"> </w:t>
      </w:r>
      <w:r w:rsidR="002E10B6" w:rsidRPr="002E10B6">
        <w:rPr>
          <w:rFonts w:ascii="PT Sans" w:hAnsi="PT Sans" w:cstheme="minorHAnsi"/>
        </w:rPr>
        <w:t>мероприятий</w:t>
      </w:r>
      <w:r>
        <w:rPr>
          <w:rFonts w:ascii="PT Sans" w:hAnsi="PT Sans" w:cstheme="minorHAnsi"/>
        </w:rPr>
        <w:t xml:space="preserve"> для предупреждения</w:t>
      </w:r>
      <w:r w:rsidR="002E10B6" w:rsidRPr="002E10B6">
        <w:rPr>
          <w:rFonts w:ascii="PT Sans" w:hAnsi="PT Sans" w:cstheme="minorHAnsi"/>
        </w:rPr>
        <w:t xml:space="preserve"> пожаров</w:t>
      </w:r>
      <w:r w:rsidR="00E63C28">
        <w:rPr>
          <w:rFonts w:ascii="PT Sans" w:hAnsi="PT Sans" w:cstheme="minorHAnsi"/>
        </w:rPr>
        <w:t xml:space="preserve"> и ограничения</w:t>
      </w:r>
      <w:r w:rsidR="002E10B6" w:rsidRPr="002E10B6">
        <w:rPr>
          <w:rFonts w:ascii="PT Sans" w:hAnsi="PT Sans" w:cstheme="minorHAnsi"/>
        </w:rPr>
        <w:t xml:space="preserve"> их распространения (протяженность минерализованных полос в 2024 увеличена вполовину и достигла 630 км)</w:t>
      </w:r>
    </w:p>
    <w:p w14:paraId="0AC1B7E5" w14:textId="77777777" w:rsidR="002E10B6" w:rsidRPr="002E10B6" w:rsidRDefault="002E10B6" w:rsidP="002E10B6">
      <w:pPr>
        <w:spacing w:after="0" w:line="240" w:lineRule="auto"/>
        <w:jc w:val="both"/>
        <w:rPr>
          <w:rFonts w:ascii="PT Sans" w:hAnsi="PT Sans" w:cs="Arial"/>
        </w:rPr>
      </w:pPr>
    </w:p>
    <w:p w14:paraId="44B87CBF" w14:textId="77777777" w:rsidR="002E10B6" w:rsidRPr="002E10B6" w:rsidRDefault="002E10B6" w:rsidP="002E10B6">
      <w:pPr>
        <w:spacing w:after="0" w:line="240" w:lineRule="auto"/>
        <w:jc w:val="both"/>
        <w:rPr>
          <w:rFonts w:ascii="PT Sans" w:hAnsi="PT Sans" w:cs="Arial"/>
        </w:rPr>
      </w:pPr>
      <w:r w:rsidRPr="002E10B6">
        <w:rPr>
          <w:rFonts w:ascii="PT Sans" w:hAnsi="PT Sans" w:cs="Arial"/>
        </w:rPr>
        <w:t>Леса и водоемы образуют единую экосистему обитания живых организмов, поэтому программы АЦБК по лесовосстановлению дополняются деятельностью по восстановлению и сохранению биоразнообразия на территориях присутствия:</w:t>
      </w:r>
    </w:p>
    <w:p w14:paraId="749679D5" w14:textId="77777777" w:rsidR="002E10B6" w:rsidRPr="002E10B6" w:rsidRDefault="002E10B6" w:rsidP="002E10B6">
      <w:pPr>
        <w:spacing w:after="0" w:line="240" w:lineRule="auto"/>
        <w:jc w:val="both"/>
        <w:rPr>
          <w:rFonts w:ascii="PT Sans" w:hAnsi="PT Sans" w:cs="Arial"/>
        </w:rPr>
      </w:pPr>
    </w:p>
    <w:p w14:paraId="4BCCE766" w14:textId="77777777" w:rsidR="002E10B6" w:rsidRPr="002E10B6" w:rsidRDefault="002E10B6" w:rsidP="002E10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PT Sans" w:hAnsi="PT Sans" w:cs="Arial"/>
        </w:rPr>
      </w:pPr>
      <w:r w:rsidRPr="002E10B6">
        <w:rPr>
          <w:rFonts w:ascii="PT Sans" w:hAnsi="PT Sans" w:cs="Arial"/>
        </w:rPr>
        <w:t>в реку Онегу выпущено почти 14 тысяч мальков молоди атлантического лосося (сёмги);</w:t>
      </w:r>
    </w:p>
    <w:p w14:paraId="0ED61A2F" w14:textId="339F45AC" w:rsidR="002E10B6" w:rsidRPr="002E10B6" w:rsidRDefault="0096776C" w:rsidP="002E10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PT Sans" w:hAnsi="PT Sans" w:cs="Arial"/>
        </w:rPr>
      </w:pPr>
      <w:r>
        <w:rPr>
          <w:rFonts w:ascii="PT Sans" w:hAnsi="PT Sans" w:cs="Arial"/>
        </w:rPr>
        <w:t>при поддержке АЦБК национальные парки</w:t>
      </w:r>
      <w:r w:rsidR="002E10B6" w:rsidRPr="002E10B6">
        <w:rPr>
          <w:rFonts w:ascii="PT Sans" w:hAnsi="PT Sans" w:cs="Arial"/>
        </w:rPr>
        <w:t xml:space="preserve"> “Кенозерский</w:t>
      </w:r>
      <w:r>
        <w:rPr>
          <w:rFonts w:ascii="PT Sans" w:hAnsi="PT Sans" w:cs="Arial"/>
        </w:rPr>
        <w:t xml:space="preserve">” и “Онежское Поморье” проводят </w:t>
      </w:r>
      <w:r w:rsidR="002E10B6" w:rsidRPr="002E10B6">
        <w:rPr>
          <w:rFonts w:ascii="PT Sans" w:hAnsi="PT Sans" w:cs="Arial"/>
        </w:rPr>
        <w:t>изуч</w:t>
      </w:r>
      <w:r>
        <w:rPr>
          <w:rFonts w:ascii="PT Sans" w:hAnsi="PT Sans" w:cs="Arial"/>
        </w:rPr>
        <w:t>ение популяции сов;</w:t>
      </w:r>
    </w:p>
    <w:p w14:paraId="46B746A7" w14:textId="23D0E0D4" w:rsidR="002E10B6" w:rsidRPr="002E10B6" w:rsidRDefault="002E10B6" w:rsidP="002E10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PT Sans" w:hAnsi="PT Sans" w:cs="Arial"/>
        </w:rPr>
      </w:pPr>
      <w:r w:rsidRPr="002E10B6">
        <w:rPr>
          <w:rFonts w:ascii="PT Sans" w:hAnsi="PT Sans" w:cs="Arial"/>
        </w:rPr>
        <w:t>выделяются буферные зоны вокруг мест обитания редких краснокнижных видов</w:t>
      </w:r>
      <w:r w:rsidR="0096776C">
        <w:rPr>
          <w:rFonts w:ascii="PT Sans" w:hAnsi="PT Sans" w:cs="Arial"/>
        </w:rPr>
        <w:t xml:space="preserve">. </w:t>
      </w:r>
    </w:p>
    <w:p w14:paraId="630F5F36" w14:textId="77777777" w:rsidR="002E10B6" w:rsidRPr="00535406" w:rsidRDefault="002E10B6" w:rsidP="002E10B6">
      <w:pPr>
        <w:spacing w:after="0" w:line="240" w:lineRule="auto"/>
        <w:jc w:val="both"/>
        <w:rPr>
          <w:rFonts w:ascii="PT Sans" w:hAnsi="PT Sans" w:cs="Arial"/>
          <w:color w:val="FF0000"/>
          <w:sz w:val="14"/>
        </w:rPr>
      </w:pPr>
    </w:p>
    <w:p w14:paraId="63C547D2" w14:textId="77777777" w:rsidR="007C1CB0" w:rsidRPr="00867CC1" w:rsidRDefault="00EC61F9" w:rsidP="007C1CB0">
      <w:pPr>
        <w:pStyle w:val="1"/>
        <w:rPr>
          <w:rStyle w:val="a8"/>
          <w:rFonts w:ascii="PT Sans" w:hAnsi="PT Sans"/>
          <w:i/>
          <w:sz w:val="24"/>
        </w:rPr>
      </w:pPr>
      <w:r w:rsidRPr="00867CC1">
        <w:rPr>
          <w:rStyle w:val="a8"/>
          <w:rFonts w:ascii="PT Sans" w:eastAsiaTheme="minorHAnsi" w:hAnsi="PT Sans"/>
          <w:b/>
          <w:bCs/>
          <w:i/>
          <w:sz w:val="24"/>
        </w:rPr>
        <w:t>Наука и технологии</w:t>
      </w:r>
    </w:p>
    <w:p w14:paraId="22612DFD" w14:textId="77777777" w:rsidR="007C1CB0" w:rsidRPr="00867CC1" w:rsidRDefault="007C1CB0" w:rsidP="009C5077">
      <w:pPr>
        <w:jc w:val="both"/>
        <w:rPr>
          <w:rFonts w:ascii="PT Sans" w:hAnsi="PT Sans" w:cs="Arial"/>
        </w:rPr>
      </w:pPr>
      <w:r w:rsidRPr="00867CC1">
        <w:rPr>
          <w:rFonts w:ascii="PT Sans" w:hAnsi="PT Sans" w:cs="Arial"/>
        </w:rPr>
        <w:t xml:space="preserve">Комбинат последовательно делает ставку на научные исследования для улучшения технологических процессов. </w:t>
      </w:r>
      <w:r w:rsidR="005A5710" w:rsidRPr="00867CC1">
        <w:rPr>
          <w:rFonts w:ascii="PT Sans" w:hAnsi="PT Sans" w:cs="Arial"/>
        </w:rPr>
        <w:t>Партнерами выступают Северный (Арктический) федеральный</w:t>
      </w:r>
      <w:r w:rsidRPr="00867CC1">
        <w:rPr>
          <w:rFonts w:ascii="PT Sans" w:hAnsi="PT Sans" w:cs="Arial"/>
        </w:rPr>
        <w:t xml:space="preserve"> университет им. М.В. Ломоносова и </w:t>
      </w:r>
      <w:r w:rsidR="005A5710" w:rsidRPr="00867CC1">
        <w:rPr>
          <w:rFonts w:ascii="PT Sans" w:hAnsi="PT Sans" w:cs="Arial"/>
        </w:rPr>
        <w:t>Федеральный исследовательский центр</w:t>
      </w:r>
      <w:r w:rsidRPr="00867CC1">
        <w:rPr>
          <w:rFonts w:ascii="PT Sans" w:hAnsi="PT Sans" w:cs="Arial"/>
        </w:rPr>
        <w:t xml:space="preserve"> комплексного изучения Арктики им. Н.П. Лавёрова Уральского отделения Российской академии наук. </w:t>
      </w:r>
    </w:p>
    <w:p w14:paraId="052E0F91" w14:textId="77777777" w:rsidR="007C3159" w:rsidRPr="00867CC1" w:rsidRDefault="007C1CB0" w:rsidP="00812B92">
      <w:pPr>
        <w:pStyle w:val="a3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867CC1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lastRenderedPageBreak/>
        <w:t xml:space="preserve">В 2024 году в промышленных условиях проведено 129 опытных работ, направленных на </w:t>
      </w:r>
      <w:r w:rsidR="008B6CE0" w:rsidRPr="00867CC1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у</w:t>
      </w:r>
      <w:r w:rsidRPr="00867CC1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лучшение технологии, энергоэффективности и экологичности процессов. </w:t>
      </w:r>
    </w:p>
    <w:p w14:paraId="06D0E6B2" w14:textId="77777777" w:rsidR="00420DA6" w:rsidRPr="00C15262" w:rsidRDefault="00422A60" w:rsidP="00F643D9">
      <w:pPr>
        <w:pStyle w:val="a3"/>
        <w:jc w:val="both"/>
        <w:rPr>
          <w:rStyle w:val="a8"/>
          <w:rFonts w:ascii="PT Sans" w:hAnsi="PT Sans" w:cs="Arial"/>
          <w:i/>
          <w:color w:val="auto"/>
          <w:szCs w:val="22"/>
          <w:lang w:eastAsia="en-US"/>
        </w:rPr>
      </w:pPr>
      <w:r w:rsidRPr="00C15262">
        <w:rPr>
          <w:rStyle w:val="a8"/>
          <w:rFonts w:ascii="PT Sans" w:eastAsiaTheme="minorHAnsi" w:hAnsi="PT Sans" w:cs="Arial"/>
          <w:bCs w:val="0"/>
          <w:i/>
          <w:color w:val="auto"/>
          <w:szCs w:val="22"/>
          <w:lang w:eastAsia="en-US"/>
        </w:rPr>
        <w:t>Социальная ответственность</w:t>
      </w:r>
    </w:p>
    <w:p w14:paraId="410DA49E" w14:textId="5D0DC93C" w:rsidR="00262A38" w:rsidRDefault="00FE579D" w:rsidP="00C87E0D">
      <w:pPr>
        <w:pStyle w:val="a3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E47215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Зрелая</w:t>
      </w:r>
      <w:r w:rsidR="00420DA6" w:rsidRPr="00E47215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ESG-</w:t>
      </w:r>
      <w:r w:rsidRPr="00E47215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стратегия проявляется в </w:t>
      </w:r>
      <w:r w:rsidR="00262A38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мерах, направленных на безопасность, развитие, вовлеченнос</w:t>
      </w:r>
      <w:r w:rsidR="00C87E0D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ть и благополучие сотрудников. Работа на АЦБК ведется по нескольким направлениям.</w:t>
      </w:r>
    </w:p>
    <w:p w14:paraId="0BD0A3B9" w14:textId="77777777" w:rsidR="008A1EDA" w:rsidRPr="0043158A" w:rsidRDefault="008A1EDA" w:rsidP="00E47215">
      <w:pPr>
        <w:pStyle w:val="a3"/>
        <w:numPr>
          <w:ilvl w:val="0"/>
          <w:numId w:val="6"/>
        </w:numPr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43158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Обучение и развитие</w:t>
      </w:r>
    </w:p>
    <w:p w14:paraId="5E5491F8" w14:textId="77777777" w:rsidR="00B17370" w:rsidRDefault="00C87E0D" w:rsidP="00B17370">
      <w:pPr>
        <w:pStyle w:val="a3"/>
        <w:numPr>
          <w:ilvl w:val="1"/>
          <w:numId w:val="6"/>
        </w:numPr>
        <w:tabs>
          <w:tab w:val="left" w:pos="720"/>
        </w:tabs>
        <w:spacing w:before="0" w:beforeAutospacing="0" w:after="0" w:afterAutospacing="0"/>
        <w:ind w:left="108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В 2024 году </w:t>
      </w:r>
      <w:r w:rsidR="00E47215"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о</w:t>
      </w:r>
      <w:r w:rsidR="007F4C26"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бучение </w:t>
      </w:r>
      <w:r w:rsidR="00E47215"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прошли более 90 % </w:t>
      </w:r>
      <w:r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сотрудников</w:t>
      </w:r>
      <w:r w:rsidR="00C81716"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, им доступно более 100 курсов по различным направлениям. </w:t>
      </w:r>
      <w:r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</w:t>
      </w:r>
    </w:p>
    <w:p w14:paraId="7EE55B08" w14:textId="1D0184E9" w:rsidR="0043158A" w:rsidRPr="00B17370" w:rsidRDefault="00E806AD" w:rsidP="00B17370">
      <w:pPr>
        <w:pStyle w:val="a3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B1737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</w:t>
      </w:r>
    </w:p>
    <w:p w14:paraId="2C709998" w14:textId="2357EB29" w:rsidR="008A1EDA" w:rsidRPr="0043158A" w:rsidRDefault="008A1EDA" w:rsidP="00B1737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43158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Здоровье и безопасность</w:t>
      </w:r>
    </w:p>
    <w:p w14:paraId="66E71B59" w14:textId="1D2168B7" w:rsidR="008A1EDA" w:rsidRDefault="00B16230" w:rsidP="0043158A">
      <w:pPr>
        <w:pStyle w:val="a3"/>
        <w:numPr>
          <w:ilvl w:val="1"/>
          <w:numId w:val="6"/>
        </w:numPr>
        <w:tabs>
          <w:tab w:val="left" w:pos="720"/>
        </w:tabs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8A1ED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На территории предприятия </w:t>
      </w:r>
      <w:r w:rsidR="004075E0" w:rsidRPr="008A1ED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доступна </w:t>
      </w:r>
      <w:r w:rsidRPr="008A1ED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круглосуточная доврачебная медицинская помощь. </w:t>
      </w:r>
    </w:p>
    <w:p w14:paraId="109472C4" w14:textId="2D6498C9" w:rsidR="00DC0E50" w:rsidRDefault="009579CC" w:rsidP="0043158A">
      <w:pPr>
        <w:pStyle w:val="a3"/>
        <w:numPr>
          <w:ilvl w:val="1"/>
          <w:numId w:val="6"/>
        </w:numPr>
        <w:tabs>
          <w:tab w:val="left" w:pos="720"/>
        </w:tabs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8A1ED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Обеспечиваются бесплатные занятия спор</w:t>
      </w:r>
      <w:r w:rsidR="00DC0E50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том для сотрудников и их семей.</w:t>
      </w:r>
    </w:p>
    <w:p w14:paraId="4EE1A87D" w14:textId="00B2DFC4" w:rsidR="008D372A" w:rsidRDefault="00DC0E50" w:rsidP="00B17370">
      <w:pPr>
        <w:pStyle w:val="a3"/>
        <w:numPr>
          <w:ilvl w:val="1"/>
          <w:numId w:val="6"/>
        </w:numPr>
        <w:tabs>
          <w:tab w:val="left" w:pos="720"/>
        </w:tabs>
        <w:spacing w:before="0" w:beforeAutospacing="0" w:after="0" w:afterAutospacing="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П</w:t>
      </w:r>
      <w:r w:rsidR="009579CC" w:rsidRPr="008A1ED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роводятся культурные мероприятия, оказывается адресная благотворительная </w:t>
      </w:r>
      <w:r w:rsidR="0060052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помощь.</w:t>
      </w:r>
      <w:r w:rsidR="009579CC" w:rsidRPr="008A1ED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 </w:t>
      </w:r>
    </w:p>
    <w:p w14:paraId="3EB12D37" w14:textId="77777777" w:rsidR="00B17370" w:rsidRPr="008A1EDA" w:rsidRDefault="00B17370" w:rsidP="00B17370">
      <w:pPr>
        <w:pStyle w:val="a3"/>
        <w:tabs>
          <w:tab w:val="left" w:pos="720"/>
        </w:tabs>
        <w:spacing w:before="0" w:beforeAutospacing="0" w:after="0" w:afterAutospacing="0"/>
        <w:ind w:left="108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</w:p>
    <w:p w14:paraId="562743F9" w14:textId="77777777" w:rsidR="00DC0E50" w:rsidRPr="00DC0E50" w:rsidRDefault="008D372A" w:rsidP="00B1737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4075E0">
        <w:rPr>
          <w:rFonts w:ascii="PT Sans" w:eastAsiaTheme="minorHAnsi" w:hAnsi="PT Sans" w:cs="Arial"/>
          <w:i/>
          <w:color w:val="auto"/>
          <w:sz w:val="22"/>
          <w:szCs w:val="22"/>
          <w:lang w:eastAsia="en-US"/>
        </w:rPr>
        <w:t>Социальная поддержка</w:t>
      </w:r>
    </w:p>
    <w:p w14:paraId="35C4A56D" w14:textId="0337FB6A" w:rsidR="00DC0E50" w:rsidRDefault="00DC0E50" w:rsidP="00B17370">
      <w:pPr>
        <w:pStyle w:val="a3"/>
        <w:numPr>
          <w:ilvl w:val="1"/>
          <w:numId w:val="11"/>
        </w:numPr>
        <w:spacing w:before="0" w:beforeAutospacing="0" w:after="0" w:afterAutospacing="0"/>
        <w:ind w:left="1418" w:hanging="284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Материальная</w:t>
      </w:r>
      <w:r w:rsidR="00D51D88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помощ</w:t>
      </w:r>
      <w:r w:rsidR="008D372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ь многодетным</w:t>
      </w:r>
      <w:r w:rsidR="00593B0D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семьям и при рождении ребенка. </w:t>
      </w:r>
    </w:p>
    <w:p w14:paraId="208A2482" w14:textId="436F43BF" w:rsidR="00F643D9" w:rsidRPr="008D372A" w:rsidRDefault="00DC0E50" w:rsidP="00B17370">
      <w:pPr>
        <w:pStyle w:val="a3"/>
        <w:numPr>
          <w:ilvl w:val="1"/>
          <w:numId w:val="11"/>
        </w:numPr>
        <w:spacing w:before="0" w:beforeAutospacing="0" w:after="0" w:afterAutospacing="0"/>
        <w:ind w:left="1418" w:hanging="284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Со</w:t>
      </w:r>
      <w:r w:rsidR="008D372A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финансирование жилищных программ: </w:t>
      </w:r>
      <w:r w:rsidR="00593B0D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в 2024 году 8 молодых семей улучшили жилищные условия, а </w:t>
      </w:r>
      <w:r w:rsidR="00D51D88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с </w:t>
      </w:r>
      <w:r w:rsidR="00593B0D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начала участия комбината в программе «Обеспечение жильем молодых семей» в 2016 году – 124 семьи. </w:t>
      </w:r>
    </w:p>
    <w:p w14:paraId="654CEAEC" w14:textId="77777777" w:rsidR="00DC0E50" w:rsidRPr="00DC0E50" w:rsidRDefault="00DC12B0" w:rsidP="00121285">
      <w:pPr>
        <w:pStyle w:val="a3"/>
        <w:numPr>
          <w:ilvl w:val="0"/>
          <w:numId w:val="6"/>
        </w:numPr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4075E0">
        <w:rPr>
          <w:rFonts w:ascii="PT Sans" w:eastAsiaTheme="minorHAnsi" w:hAnsi="PT Sans" w:cs="Arial"/>
          <w:i/>
          <w:color w:val="auto"/>
          <w:sz w:val="22"/>
          <w:szCs w:val="22"/>
          <w:lang w:eastAsia="en-US"/>
        </w:rPr>
        <w:t>Равные кадровые возможности для мужчин и женщин</w:t>
      </w:r>
    </w:p>
    <w:p w14:paraId="52053D1C" w14:textId="77777777" w:rsidR="005A496B" w:rsidRDefault="00DC12B0" w:rsidP="005A496B">
      <w:pPr>
        <w:pStyle w:val="a3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DC6727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При назначении на должность оценивается образование, компетенции, опыт, профессиональные и лидерские качества. </w:t>
      </w:r>
    </w:p>
    <w:p w14:paraId="4A9ACD74" w14:textId="6470AF62" w:rsidR="00DC6727" w:rsidRPr="005A496B" w:rsidRDefault="00DC12B0" w:rsidP="005A496B">
      <w:pPr>
        <w:pStyle w:val="a3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Доля </w:t>
      </w:r>
      <w:r w:rsidR="00420DA6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женщин-руководителей </w:t>
      </w:r>
      <w:r w:rsidR="00E806AD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на комбинате</w:t>
      </w:r>
      <w:r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в 2024 году</w:t>
      </w:r>
      <w:r w:rsidR="00E806AD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</w:t>
      </w:r>
      <w:r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составила </w:t>
      </w:r>
      <w:r w:rsidR="00420DA6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>25</w:t>
      </w:r>
      <w:r w:rsidR="008C740F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 </w:t>
      </w:r>
      <w:r w:rsidR="00DC6727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% при гендерном составе </w:t>
      </w:r>
      <w:r w:rsidR="002F44A6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коллектива </w:t>
      </w:r>
      <w:r w:rsidR="00DC6727" w:rsidRPr="005A496B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33 % женщин/67 % мужчин. </w:t>
      </w:r>
    </w:p>
    <w:p w14:paraId="1260A6C1" w14:textId="77777777" w:rsidR="00C15262" w:rsidRPr="00C15262" w:rsidRDefault="00C15262" w:rsidP="00C15262">
      <w:pPr>
        <w:pStyle w:val="a3"/>
        <w:jc w:val="both"/>
        <w:rPr>
          <w:rFonts w:ascii="PT Sans" w:eastAsiaTheme="minorHAnsi" w:hAnsi="PT Sans" w:cs="Arial"/>
          <w:b/>
          <w:i/>
          <w:color w:val="auto"/>
          <w:sz w:val="22"/>
          <w:szCs w:val="22"/>
          <w:lang w:eastAsia="en-US"/>
        </w:rPr>
      </w:pPr>
      <w:r w:rsidRPr="00C15262">
        <w:rPr>
          <w:rFonts w:ascii="PT Sans" w:eastAsiaTheme="minorHAnsi" w:hAnsi="PT Sans" w:cs="Arial"/>
          <w:b/>
          <w:i/>
          <w:color w:val="auto"/>
          <w:sz w:val="22"/>
          <w:szCs w:val="22"/>
          <w:lang w:eastAsia="en-US"/>
        </w:rPr>
        <w:t>Путь клиента</w:t>
      </w:r>
    </w:p>
    <w:p w14:paraId="56C5CDB6" w14:textId="57E5E447" w:rsidR="00C15262" w:rsidRDefault="00C15262" w:rsidP="00C15262">
      <w:pPr>
        <w:pStyle w:val="a3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  <w:r w:rsidRPr="00C15262">
        <w:rPr>
          <w:rFonts w:ascii="PT Sans" w:eastAsiaTheme="minorHAnsi" w:hAnsi="PT Sans" w:cs="Arial"/>
          <w:color w:val="auto"/>
          <w:sz w:val="22"/>
          <w:szCs w:val="22"/>
          <w:lang w:eastAsia="en-US"/>
        </w:rPr>
        <w:t xml:space="preserve">Высокий показатель индекса лояльности покупателей – в среднем 90 % по всем видам продукции (целлюлоза, картон и бумага) – говорит об успешном клиентском сервисе и доверии со стороны потребителей. Все процессы - не только продажи, но и производство, логистика, маркетинг – ориентированы на создание дополнительной ценности и формирование лучшего опыта взаимодействия с клиентами.   </w:t>
      </w:r>
    </w:p>
    <w:p w14:paraId="3B6E2EDE" w14:textId="77777777" w:rsidR="009E132D" w:rsidRDefault="009E132D" w:rsidP="009E132D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18"/>
          <w:szCs w:val="18"/>
          <w:lang w:eastAsia="ru-RU"/>
        </w:rPr>
      </w:pPr>
    </w:p>
    <w:p w14:paraId="2367B770" w14:textId="33576944" w:rsidR="009E132D" w:rsidRPr="009E132D" w:rsidRDefault="009E132D" w:rsidP="009E132D">
      <w:pPr>
        <w:spacing w:after="0" w:line="240" w:lineRule="auto"/>
        <w:jc w:val="both"/>
        <w:rPr>
          <w:rFonts w:ascii="Calibri" w:hAnsi="Calibri" w:cs="Calibri"/>
          <w:lang w:eastAsia="ru-RU"/>
        </w:rPr>
      </w:pPr>
      <w:r w:rsidRPr="009E132D">
        <w:rPr>
          <w:rFonts w:ascii="Tahoma" w:hAnsi="Tahoma" w:cs="Tahoma"/>
          <w:b/>
          <w:bCs/>
          <w:i/>
          <w:iCs/>
          <w:sz w:val="18"/>
          <w:szCs w:val="18"/>
          <w:lang w:eastAsia="ru-RU"/>
        </w:rPr>
        <w:t>АО «Архангельский ЦБК»</w:t>
      </w:r>
      <w:r w:rsidRPr="009E132D">
        <w:rPr>
          <w:rFonts w:ascii="Tahoma" w:hAnsi="Tahoma" w:cs="Tahoma"/>
          <w:i/>
          <w:iCs/>
          <w:sz w:val="18"/>
          <w:szCs w:val="18"/>
          <w:lang w:eastAsia="ru-RU"/>
        </w:rPr>
        <w:t xml:space="preserve"> - российский вертикально-интегрированный холдинг, который обеспечивает полный цикл производства – от переработки сырья до производства готовой продукции целлюлозно-бумажной промышленности. Основан в 1940 году, является градообразующим предприятием для г. </w:t>
      </w:r>
      <w:proofErr w:type="spellStart"/>
      <w:r w:rsidRPr="009E132D">
        <w:rPr>
          <w:rFonts w:ascii="Tahoma" w:hAnsi="Tahoma" w:cs="Tahoma"/>
          <w:i/>
          <w:iCs/>
          <w:sz w:val="18"/>
          <w:szCs w:val="18"/>
          <w:lang w:eastAsia="ru-RU"/>
        </w:rPr>
        <w:t>Новодвинска</w:t>
      </w:r>
      <w:proofErr w:type="spellEnd"/>
      <w:r w:rsidRPr="009E132D">
        <w:rPr>
          <w:rFonts w:ascii="Tahoma" w:hAnsi="Tahoma" w:cs="Tahoma"/>
          <w:i/>
          <w:iCs/>
          <w:sz w:val="18"/>
          <w:szCs w:val="18"/>
          <w:lang w:eastAsia="ru-RU"/>
        </w:rPr>
        <w:t xml:space="preserve"> Архангельской области.</w:t>
      </w:r>
    </w:p>
    <w:p w14:paraId="5CF508B2" w14:textId="77777777" w:rsidR="009E132D" w:rsidRPr="009E132D" w:rsidRDefault="009E132D" w:rsidP="009E132D">
      <w:pPr>
        <w:spacing w:after="0" w:line="240" w:lineRule="auto"/>
        <w:jc w:val="both"/>
        <w:rPr>
          <w:rFonts w:ascii="Calibri" w:hAnsi="Calibri" w:cs="Calibri"/>
          <w:lang w:eastAsia="ru-RU"/>
        </w:rPr>
      </w:pPr>
      <w:r w:rsidRPr="009E132D">
        <w:rPr>
          <w:rFonts w:ascii="Tahoma" w:hAnsi="Tahoma" w:cs="Tahoma"/>
          <w:i/>
          <w:iCs/>
          <w:sz w:val="8"/>
          <w:szCs w:val="8"/>
          <w:lang w:eastAsia="ru-RU"/>
        </w:rPr>
        <w:t> </w:t>
      </w:r>
    </w:p>
    <w:p w14:paraId="3F5B79AB" w14:textId="0D08DA56" w:rsidR="009E132D" w:rsidRDefault="009E132D" w:rsidP="009E132D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  <w:lang w:eastAsia="ru-RU"/>
        </w:rPr>
      </w:pPr>
      <w:r w:rsidRPr="009E132D">
        <w:rPr>
          <w:rFonts w:ascii="Tahoma" w:hAnsi="Tahoma" w:cs="Tahoma"/>
          <w:i/>
          <w:iCs/>
          <w:sz w:val="18"/>
          <w:szCs w:val="18"/>
          <w:lang w:eastAsia="ru-RU"/>
        </w:rPr>
        <w:t xml:space="preserve">«Архангельский ЦБК» реализует политику ответственного лесопользования, основанную на рациональном использовании и восстановлении природных ресурсов и сохранении экосистем. На комбинате действует программа по сохранению биоразнообразия до 2030 года. </w:t>
      </w:r>
    </w:p>
    <w:p w14:paraId="27ACC6FF" w14:textId="2A5AEF7E" w:rsidR="009E132D" w:rsidRDefault="009E132D" w:rsidP="009E132D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  <w:lang w:eastAsia="ru-RU"/>
        </w:rPr>
      </w:pPr>
    </w:p>
    <w:p w14:paraId="7DA279DB" w14:textId="1150722A" w:rsidR="009E132D" w:rsidRPr="009E132D" w:rsidRDefault="009E132D" w:rsidP="009E132D">
      <w:pPr>
        <w:spacing w:after="0" w:line="240" w:lineRule="auto"/>
        <w:jc w:val="both"/>
        <w:rPr>
          <w:rFonts w:ascii="Calibri" w:hAnsi="Calibri" w:cs="Calibri"/>
          <w:lang w:eastAsia="ru-RU"/>
        </w:rPr>
      </w:pPr>
      <w:bookmarkStart w:id="0" w:name="_GoBack"/>
      <w:bookmarkEnd w:id="0"/>
    </w:p>
    <w:p w14:paraId="4B8FE44A" w14:textId="77777777" w:rsidR="009E132D" w:rsidRDefault="009E132D" w:rsidP="00C15262">
      <w:pPr>
        <w:pStyle w:val="a3"/>
        <w:jc w:val="both"/>
        <w:rPr>
          <w:rFonts w:ascii="PT Sans" w:eastAsiaTheme="minorHAnsi" w:hAnsi="PT Sans" w:cs="Arial"/>
          <w:color w:val="auto"/>
          <w:sz w:val="22"/>
          <w:szCs w:val="22"/>
          <w:lang w:eastAsia="en-US"/>
        </w:rPr>
      </w:pPr>
    </w:p>
    <w:p w14:paraId="1CC2A3EF" w14:textId="77777777" w:rsidR="005D7787" w:rsidRPr="00867CC1" w:rsidRDefault="005D7787" w:rsidP="005B07D0">
      <w:pPr>
        <w:spacing w:before="120" w:after="0" w:line="240" w:lineRule="auto"/>
        <w:ind w:firstLine="567"/>
        <w:jc w:val="both"/>
        <w:rPr>
          <w:rFonts w:ascii="PT Sans" w:hAnsi="PT Sans"/>
          <w:i/>
          <w:color w:val="0070C0"/>
          <w:sz w:val="20"/>
          <w:szCs w:val="20"/>
        </w:rPr>
      </w:pPr>
    </w:p>
    <w:p w14:paraId="7217B621" w14:textId="77777777" w:rsidR="00D85F4B" w:rsidRPr="00867CC1" w:rsidRDefault="00D85F4B">
      <w:pPr>
        <w:rPr>
          <w:rFonts w:ascii="PT Sans" w:hAnsi="PT Sans"/>
        </w:rPr>
      </w:pPr>
    </w:p>
    <w:sectPr w:rsidR="00D85F4B" w:rsidRPr="0086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FBA"/>
    <w:multiLevelType w:val="hybridMultilevel"/>
    <w:tmpl w:val="F1AAB13C"/>
    <w:lvl w:ilvl="0" w:tplc="DB9804D0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DA23DAA"/>
    <w:multiLevelType w:val="hybridMultilevel"/>
    <w:tmpl w:val="CEBA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79"/>
    <w:multiLevelType w:val="multilevel"/>
    <w:tmpl w:val="C8FA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C683A"/>
    <w:multiLevelType w:val="hybridMultilevel"/>
    <w:tmpl w:val="6C6E48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153AE8"/>
    <w:multiLevelType w:val="hybridMultilevel"/>
    <w:tmpl w:val="93B8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747C1"/>
    <w:multiLevelType w:val="hybridMultilevel"/>
    <w:tmpl w:val="A818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D711A"/>
    <w:multiLevelType w:val="hybridMultilevel"/>
    <w:tmpl w:val="672EA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E4629D"/>
    <w:multiLevelType w:val="hybridMultilevel"/>
    <w:tmpl w:val="685E43C6"/>
    <w:lvl w:ilvl="0" w:tplc="0419000D">
      <w:start w:val="1"/>
      <w:numFmt w:val="bullet"/>
      <w:lvlText w:val=""/>
      <w:lvlJc w:val="left"/>
      <w:pPr>
        <w:ind w:left="13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 w15:restartNumberingAfterBreak="0">
    <w:nsid w:val="64C774C2"/>
    <w:multiLevelType w:val="hybridMultilevel"/>
    <w:tmpl w:val="DCFE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92A83"/>
    <w:multiLevelType w:val="hybridMultilevel"/>
    <w:tmpl w:val="663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6737F"/>
    <w:multiLevelType w:val="multilevel"/>
    <w:tmpl w:val="1F9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19"/>
    <w:rsid w:val="00006650"/>
    <w:rsid w:val="0001295A"/>
    <w:rsid w:val="00052170"/>
    <w:rsid w:val="00052726"/>
    <w:rsid w:val="00054CDF"/>
    <w:rsid w:val="00073CB9"/>
    <w:rsid w:val="00074CD1"/>
    <w:rsid w:val="000847F8"/>
    <w:rsid w:val="0009343B"/>
    <w:rsid w:val="00097535"/>
    <w:rsid w:val="00097E37"/>
    <w:rsid w:val="000C085E"/>
    <w:rsid w:val="00123B7A"/>
    <w:rsid w:val="001433FE"/>
    <w:rsid w:val="001534AD"/>
    <w:rsid w:val="00181D67"/>
    <w:rsid w:val="0019452B"/>
    <w:rsid w:val="001C0CA5"/>
    <w:rsid w:val="001C2A2A"/>
    <w:rsid w:val="001D3CE3"/>
    <w:rsid w:val="0020440D"/>
    <w:rsid w:val="00210C19"/>
    <w:rsid w:val="002145CA"/>
    <w:rsid w:val="00217649"/>
    <w:rsid w:val="00230E41"/>
    <w:rsid w:val="00236DF9"/>
    <w:rsid w:val="002422EB"/>
    <w:rsid w:val="00243631"/>
    <w:rsid w:val="00252442"/>
    <w:rsid w:val="00262A38"/>
    <w:rsid w:val="002C1C96"/>
    <w:rsid w:val="002C5294"/>
    <w:rsid w:val="002E10B6"/>
    <w:rsid w:val="002F44A6"/>
    <w:rsid w:val="003330FA"/>
    <w:rsid w:val="003472CA"/>
    <w:rsid w:val="003969E6"/>
    <w:rsid w:val="00396DE0"/>
    <w:rsid w:val="0039755F"/>
    <w:rsid w:val="003A2E5C"/>
    <w:rsid w:val="003C693D"/>
    <w:rsid w:val="004075E0"/>
    <w:rsid w:val="004203DA"/>
    <w:rsid w:val="00420DA6"/>
    <w:rsid w:val="004226CE"/>
    <w:rsid w:val="00422A60"/>
    <w:rsid w:val="0043158A"/>
    <w:rsid w:val="00433DA6"/>
    <w:rsid w:val="00435602"/>
    <w:rsid w:val="00437172"/>
    <w:rsid w:val="00451C90"/>
    <w:rsid w:val="004644CF"/>
    <w:rsid w:val="00465660"/>
    <w:rsid w:val="00470062"/>
    <w:rsid w:val="00482758"/>
    <w:rsid w:val="004C4E64"/>
    <w:rsid w:val="004E1824"/>
    <w:rsid w:val="004E1880"/>
    <w:rsid w:val="00501B8E"/>
    <w:rsid w:val="005277A1"/>
    <w:rsid w:val="00535406"/>
    <w:rsid w:val="005676DA"/>
    <w:rsid w:val="00571E0C"/>
    <w:rsid w:val="00593B0D"/>
    <w:rsid w:val="005A496B"/>
    <w:rsid w:val="005A5710"/>
    <w:rsid w:val="005B07D0"/>
    <w:rsid w:val="005B7831"/>
    <w:rsid w:val="005B7F99"/>
    <w:rsid w:val="005C71EF"/>
    <w:rsid w:val="005D282E"/>
    <w:rsid w:val="005D47BD"/>
    <w:rsid w:val="005D7787"/>
    <w:rsid w:val="005F3C97"/>
    <w:rsid w:val="0060052A"/>
    <w:rsid w:val="006019B4"/>
    <w:rsid w:val="0061488D"/>
    <w:rsid w:val="006353A3"/>
    <w:rsid w:val="00692D11"/>
    <w:rsid w:val="006C5E09"/>
    <w:rsid w:val="006C7594"/>
    <w:rsid w:val="006E0023"/>
    <w:rsid w:val="006F26AF"/>
    <w:rsid w:val="007356EB"/>
    <w:rsid w:val="00735900"/>
    <w:rsid w:val="00752977"/>
    <w:rsid w:val="00771444"/>
    <w:rsid w:val="0077280F"/>
    <w:rsid w:val="007757A6"/>
    <w:rsid w:val="00785743"/>
    <w:rsid w:val="007A5191"/>
    <w:rsid w:val="007C1CB0"/>
    <w:rsid w:val="007C3159"/>
    <w:rsid w:val="007D1558"/>
    <w:rsid w:val="007E2FC7"/>
    <w:rsid w:val="007F4C26"/>
    <w:rsid w:val="00812B92"/>
    <w:rsid w:val="00826AA5"/>
    <w:rsid w:val="00840638"/>
    <w:rsid w:val="00846520"/>
    <w:rsid w:val="00853D39"/>
    <w:rsid w:val="00867CC1"/>
    <w:rsid w:val="00881A4E"/>
    <w:rsid w:val="00894DEC"/>
    <w:rsid w:val="008A1EDA"/>
    <w:rsid w:val="008B5C55"/>
    <w:rsid w:val="008B6CE0"/>
    <w:rsid w:val="008C740F"/>
    <w:rsid w:val="008C76E7"/>
    <w:rsid w:val="008D372A"/>
    <w:rsid w:val="008E796A"/>
    <w:rsid w:val="008F1242"/>
    <w:rsid w:val="008F63A8"/>
    <w:rsid w:val="00903EDD"/>
    <w:rsid w:val="009179A6"/>
    <w:rsid w:val="00951567"/>
    <w:rsid w:val="0095739A"/>
    <w:rsid w:val="00957698"/>
    <w:rsid w:val="009579CC"/>
    <w:rsid w:val="0096776C"/>
    <w:rsid w:val="00974E96"/>
    <w:rsid w:val="00977B01"/>
    <w:rsid w:val="00982D99"/>
    <w:rsid w:val="00991B34"/>
    <w:rsid w:val="009976EA"/>
    <w:rsid w:val="009A4D80"/>
    <w:rsid w:val="009C5077"/>
    <w:rsid w:val="009C5F50"/>
    <w:rsid w:val="009D2593"/>
    <w:rsid w:val="009E132D"/>
    <w:rsid w:val="009F3A6E"/>
    <w:rsid w:val="00A05858"/>
    <w:rsid w:val="00A24401"/>
    <w:rsid w:val="00A3041B"/>
    <w:rsid w:val="00A40680"/>
    <w:rsid w:val="00A42314"/>
    <w:rsid w:val="00A43BEA"/>
    <w:rsid w:val="00A76B39"/>
    <w:rsid w:val="00A8752A"/>
    <w:rsid w:val="00A96F88"/>
    <w:rsid w:val="00AA119B"/>
    <w:rsid w:val="00AA5C8B"/>
    <w:rsid w:val="00AC7901"/>
    <w:rsid w:val="00AE3437"/>
    <w:rsid w:val="00AF4FC6"/>
    <w:rsid w:val="00B015E2"/>
    <w:rsid w:val="00B130DB"/>
    <w:rsid w:val="00B14797"/>
    <w:rsid w:val="00B16230"/>
    <w:rsid w:val="00B17370"/>
    <w:rsid w:val="00B25C31"/>
    <w:rsid w:val="00B35C25"/>
    <w:rsid w:val="00B405B0"/>
    <w:rsid w:val="00B75546"/>
    <w:rsid w:val="00B824E3"/>
    <w:rsid w:val="00B871A4"/>
    <w:rsid w:val="00B92B7E"/>
    <w:rsid w:val="00BB09EB"/>
    <w:rsid w:val="00BB6C53"/>
    <w:rsid w:val="00BC4951"/>
    <w:rsid w:val="00BE4A40"/>
    <w:rsid w:val="00BE5208"/>
    <w:rsid w:val="00C0347B"/>
    <w:rsid w:val="00C15262"/>
    <w:rsid w:val="00C21CAB"/>
    <w:rsid w:val="00C70123"/>
    <w:rsid w:val="00C81716"/>
    <w:rsid w:val="00C84ADE"/>
    <w:rsid w:val="00C87E0D"/>
    <w:rsid w:val="00C90F4D"/>
    <w:rsid w:val="00C96B17"/>
    <w:rsid w:val="00CA0C7F"/>
    <w:rsid w:val="00CA4A4F"/>
    <w:rsid w:val="00CA69B5"/>
    <w:rsid w:val="00CE1E6F"/>
    <w:rsid w:val="00CE32B5"/>
    <w:rsid w:val="00D1654F"/>
    <w:rsid w:val="00D21FD0"/>
    <w:rsid w:val="00D23389"/>
    <w:rsid w:val="00D51D88"/>
    <w:rsid w:val="00D85CA0"/>
    <w:rsid w:val="00D85F4B"/>
    <w:rsid w:val="00DA07B2"/>
    <w:rsid w:val="00DA2DA9"/>
    <w:rsid w:val="00DA3C7D"/>
    <w:rsid w:val="00DB2BF7"/>
    <w:rsid w:val="00DB6C80"/>
    <w:rsid w:val="00DC0E50"/>
    <w:rsid w:val="00DC12B0"/>
    <w:rsid w:val="00DC6727"/>
    <w:rsid w:val="00DD4D6D"/>
    <w:rsid w:val="00DE1631"/>
    <w:rsid w:val="00E1503A"/>
    <w:rsid w:val="00E27D6A"/>
    <w:rsid w:val="00E36832"/>
    <w:rsid w:val="00E47215"/>
    <w:rsid w:val="00E525A7"/>
    <w:rsid w:val="00E61C6B"/>
    <w:rsid w:val="00E63C28"/>
    <w:rsid w:val="00E63D16"/>
    <w:rsid w:val="00E6665C"/>
    <w:rsid w:val="00E67F76"/>
    <w:rsid w:val="00E77A25"/>
    <w:rsid w:val="00E806AD"/>
    <w:rsid w:val="00E92928"/>
    <w:rsid w:val="00EB3FC9"/>
    <w:rsid w:val="00EB73D2"/>
    <w:rsid w:val="00EC61F9"/>
    <w:rsid w:val="00EE2934"/>
    <w:rsid w:val="00EF6470"/>
    <w:rsid w:val="00EF758D"/>
    <w:rsid w:val="00F2543E"/>
    <w:rsid w:val="00F51398"/>
    <w:rsid w:val="00F5244F"/>
    <w:rsid w:val="00F52EBD"/>
    <w:rsid w:val="00F643D9"/>
    <w:rsid w:val="00F902E0"/>
    <w:rsid w:val="00FB5CDB"/>
    <w:rsid w:val="00FC0D0A"/>
    <w:rsid w:val="00FD1B10"/>
    <w:rsid w:val="00FE30CF"/>
    <w:rsid w:val="00FE578C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953"/>
  <w15:chartTrackingRefBased/>
  <w15:docId w15:val="{3975E393-7372-4B53-8850-652EC5D6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B35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1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Bullets,1,UL,Абзац маркированнный,Table-Normal,RSHB_Table-Normal,Предусловия,Нумерованый список,List Paragraph1,Нумерованный спиков,BulletList1,Bullet_IRAO,Dot pt,Indicator Text,List Paragraph Char Char Char,No Spacing1,Paragraph,Мой Список"/>
    <w:basedOn w:val="a"/>
    <w:link w:val="a5"/>
    <w:uiPriority w:val="34"/>
    <w:qFormat/>
    <w:rsid w:val="00097E37"/>
    <w:pPr>
      <w:ind w:left="720"/>
      <w:contextualSpacing/>
    </w:pPr>
  </w:style>
  <w:style w:type="character" w:customStyle="1" w:styleId="a5">
    <w:name w:val="Абзац списка Знак"/>
    <w:aliases w:val="Bullets Знак,1 Знак,UL Знак,Абзац маркированнный Знак,Table-Normal Знак,RSHB_Table-Normal Знак,Предусловия Знак,Нумерованый список Знак,List Paragraph1 Знак,Нумерованный спиков Знак,BulletList1 Знак,Bullet_IRAO Знак,Dot pt Знак"/>
    <w:basedOn w:val="a0"/>
    <w:link w:val="a4"/>
    <w:uiPriority w:val="34"/>
    <w:qFormat/>
    <w:rsid w:val="00097E37"/>
  </w:style>
  <w:style w:type="paragraph" w:styleId="a6">
    <w:name w:val="header"/>
    <w:basedOn w:val="a"/>
    <w:link w:val="a7"/>
    <w:uiPriority w:val="99"/>
    <w:unhideWhenUsed/>
    <w:rsid w:val="005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7D0"/>
  </w:style>
  <w:style w:type="character" w:customStyle="1" w:styleId="10">
    <w:name w:val="Заголовок 1 Знак"/>
    <w:basedOn w:val="a0"/>
    <w:link w:val="1"/>
    <w:uiPriority w:val="9"/>
    <w:rsid w:val="00B35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5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35C25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359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590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590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59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590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3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35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ТАТЬЯНА ВЛАДИМИРОВНА</dc:creator>
  <cp:keywords/>
  <dc:description/>
  <cp:lastModifiedBy>ВИШНЯКОВА ТАТЬЯНА ВЛАДИМИРОВНА</cp:lastModifiedBy>
  <cp:revision>68</cp:revision>
  <dcterms:created xsi:type="dcterms:W3CDTF">2025-12-02T14:27:00Z</dcterms:created>
  <dcterms:modified xsi:type="dcterms:W3CDTF">2025-12-08T10:50:00Z</dcterms:modified>
</cp:coreProperties>
</file>